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B0C8" w14:textId="77777777" w:rsidR="00AF30A2" w:rsidRDefault="00AF30A2" w:rsidP="00AF30A2">
      <w:pPr>
        <w:pStyle w:val="Text"/>
        <w:spacing w:line="480" w:lineRule="auto"/>
        <w:ind w:right="360" w:firstLine="0"/>
        <w:contextualSpacing/>
        <w:jc w:val="center"/>
        <w:rPr>
          <w:rFonts w:ascii="Times New Roman" w:hAnsi="Times New Roman"/>
          <w:i/>
          <w:iCs/>
          <w:szCs w:val="24"/>
          <w:u w:val="single"/>
        </w:rPr>
      </w:pPr>
      <w:r w:rsidRPr="00B8274E">
        <w:rPr>
          <w:rFonts w:ascii="Times New Roman" w:hAnsi="Times New Roman"/>
          <w:i/>
          <w:iCs/>
          <w:szCs w:val="24"/>
          <w:u w:val="single"/>
        </w:rPr>
        <w:t>Electr</w:t>
      </w:r>
      <w:r>
        <w:rPr>
          <w:rFonts w:ascii="Times New Roman" w:hAnsi="Times New Roman"/>
          <w:i/>
          <w:iCs/>
          <w:szCs w:val="24"/>
          <w:u w:val="single"/>
        </w:rPr>
        <w:t>onic monitoring is not always an accurate measure of youth’s safety risk</w:t>
      </w:r>
    </w:p>
    <w:p w14:paraId="6089D5AD" w14:textId="77777777" w:rsidR="00AF30A2" w:rsidRPr="005C5557" w:rsidRDefault="00AF30A2" w:rsidP="00AF30A2">
      <w:pPr>
        <w:pStyle w:val="Text"/>
        <w:spacing w:line="480" w:lineRule="auto"/>
        <w:ind w:right="360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There is a growing body of research questioning the predominant notion of electronic monitoring as a harmless alternative to incarceration. It has its utility and can be a useful tool to, among other things, provide structure to a youth upon initial release.  </w:t>
      </w:r>
      <w:r w:rsidRPr="00124C65">
        <w:rPr>
          <w:rFonts w:ascii="Times New Roman" w:hAnsi="Times New Roman"/>
          <w:bCs/>
          <w:szCs w:val="24"/>
        </w:rPr>
        <w:t xml:space="preserve">But </w:t>
      </w:r>
      <w:r>
        <w:rPr>
          <w:rFonts w:ascii="Times New Roman" w:hAnsi="Times New Roman"/>
          <w:bCs/>
          <w:szCs w:val="24"/>
        </w:rPr>
        <w:t xml:space="preserve">it is inaccurate to suggest that electronic monitoring is without iatrogenic risk, or even that it always accurately measures a youth’s safety in the community. The requirements can be </w:t>
      </w:r>
      <w:r w:rsidRPr="00124C65">
        <w:rPr>
          <w:rFonts w:ascii="Times New Roman" w:hAnsi="Times New Roman"/>
          <w:bCs/>
          <w:szCs w:val="24"/>
        </w:rPr>
        <w:t>onerous, especially for young people with disabilities</w:t>
      </w:r>
      <w:r>
        <w:rPr>
          <w:rFonts w:ascii="Times New Roman" w:hAnsi="Times New Roman"/>
          <w:bCs/>
          <w:szCs w:val="24"/>
        </w:rPr>
        <w:t xml:space="preserve"> (65-70% of all youth arrested in the United States have a mental health disorder, by some estimates</w:t>
      </w:r>
      <w:r>
        <w:rPr>
          <w:rStyle w:val="FootnoteReference"/>
          <w:rFonts w:ascii="Times New Roman" w:hAnsi="Times New Roman"/>
          <w:bCs/>
          <w:szCs w:val="24"/>
        </w:rPr>
        <w:footnoteReference w:id="1"/>
      </w:r>
      <w:r>
        <w:rPr>
          <w:rFonts w:ascii="Times New Roman" w:hAnsi="Times New Roman"/>
          <w:bCs/>
          <w:szCs w:val="24"/>
        </w:rPr>
        <w:t>)</w:t>
      </w:r>
      <w:r w:rsidRPr="00124C65">
        <w:rPr>
          <w:rFonts w:ascii="Times New Roman" w:hAnsi="Times New Roman"/>
          <w:bCs/>
          <w:szCs w:val="24"/>
        </w:rPr>
        <w:t xml:space="preserve"> who face heightened barriers to complying</w:t>
      </w:r>
      <w:r>
        <w:rPr>
          <w:rFonts w:ascii="Times New Roman" w:hAnsi="Times New Roman"/>
          <w:bCs/>
          <w:szCs w:val="24"/>
        </w:rPr>
        <w:t xml:space="preserve"> </w:t>
      </w:r>
      <w:r w:rsidRPr="00124C65">
        <w:rPr>
          <w:rFonts w:ascii="Times New Roman" w:hAnsi="Times New Roman"/>
          <w:bCs/>
          <w:szCs w:val="24"/>
        </w:rPr>
        <w:t>with requirements, including</w:t>
      </w:r>
      <w:r>
        <w:rPr>
          <w:rFonts w:ascii="Times New Roman" w:hAnsi="Times New Roman"/>
          <w:bCs/>
          <w:szCs w:val="24"/>
        </w:rPr>
        <w:t xml:space="preserve">: </w:t>
      </w:r>
      <w:r w:rsidRPr="00124C65">
        <w:rPr>
          <w:rFonts w:ascii="Times New Roman" w:hAnsi="Times New Roman"/>
          <w:bCs/>
          <w:szCs w:val="24"/>
        </w:rPr>
        <w:t>trouble understanding the EM rules, sitting still to charge their</w:t>
      </w:r>
      <w:r>
        <w:rPr>
          <w:rFonts w:ascii="Times New Roman" w:hAnsi="Times New Roman"/>
          <w:bCs/>
          <w:szCs w:val="24"/>
        </w:rPr>
        <w:t xml:space="preserve"> </w:t>
      </w:r>
      <w:r w:rsidRPr="00124C65">
        <w:rPr>
          <w:rFonts w:ascii="Times New Roman" w:hAnsi="Times New Roman"/>
          <w:bCs/>
          <w:szCs w:val="24"/>
        </w:rPr>
        <w:t>device for multiple hours each day, and following curfew and supervision check-in schedules</w:t>
      </w:r>
      <w:r>
        <w:rPr>
          <w:rFonts w:ascii="Times New Roman" w:hAnsi="Times New Roman"/>
          <w:bCs/>
          <w:szCs w:val="24"/>
        </w:rPr>
        <w:t>.</w:t>
      </w:r>
      <w:r>
        <w:rPr>
          <w:rStyle w:val="FootnoteReference"/>
          <w:rFonts w:ascii="Times New Roman" w:hAnsi="Times New Roman"/>
          <w:bCs/>
          <w:szCs w:val="24"/>
        </w:rPr>
        <w:footnoteReference w:id="2"/>
      </w:r>
      <w:r>
        <w:rPr>
          <w:rFonts w:ascii="Times New Roman" w:hAnsi="Times New Roman"/>
          <w:bCs/>
          <w:szCs w:val="24"/>
        </w:rPr>
        <w:t xml:space="preserve"> For example, </w:t>
      </w:r>
      <w:r>
        <w:rPr>
          <w:rFonts w:ascii="Times New Roman" w:hAnsi="Times New Roman"/>
          <w:bCs/>
          <w:sz w:val="22"/>
          <w:szCs w:val="22"/>
        </w:rPr>
        <w:t xml:space="preserve">Youth with </w:t>
      </w:r>
      <w:r w:rsidRPr="001A12F8">
        <w:rPr>
          <w:rFonts w:ascii="Times New Roman" w:hAnsi="Times New Roman"/>
          <w:bCs/>
          <w:sz w:val="22"/>
          <w:szCs w:val="22"/>
        </w:rPr>
        <w:t>dyslexia will have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A12F8">
        <w:rPr>
          <w:rFonts w:ascii="Times New Roman" w:hAnsi="Times New Roman"/>
          <w:bCs/>
          <w:sz w:val="22"/>
          <w:szCs w:val="22"/>
        </w:rPr>
        <w:t>greater difficulty comprehending and referring back to complex, high-volume rule sets. Youth with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A12F8">
        <w:rPr>
          <w:rFonts w:ascii="Times New Roman" w:hAnsi="Times New Roman"/>
          <w:bCs/>
          <w:sz w:val="22"/>
          <w:szCs w:val="22"/>
        </w:rPr>
        <w:t>ADHD or underdeveloped neurocognitive abilities will have greater difficulty complying with lengthy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A12F8">
        <w:rPr>
          <w:rFonts w:ascii="Times New Roman" w:hAnsi="Times New Roman"/>
          <w:bCs/>
          <w:sz w:val="22"/>
          <w:szCs w:val="22"/>
        </w:rPr>
        <w:t>battery charging periods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Style w:val="FootnoteReference"/>
          <w:rFonts w:ascii="Times New Roman" w:hAnsi="Times New Roman"/>
          <w:bCs/>
          <w:sz w:val="22"/>
          <w:szCs w:val="22"/>
        </w:rPr>
        <w:footnoteReference w:id="3"/>
      </w:r>
    </w:p>
    <w:p w14:paraId="22D732B4" w14:textId="77777777" w:rsidR="00AF30A2" w:rsidRDefault="00AF30A2" w:rsidP="00AF30A2">
      <w:pPr>
        <w:pStyle w:val="Text"/>
        <w:spacing w:line="480" w:lineRule="auto"/>
        <w:ind w:right="360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 one study, researchers found that electronic monitoring</w:t>
      </w:r>
      <w:r w:rsidRPr="0035457F">
        <w:rPr>
          <w:rFonts w:ascii="Times New Roman" w:hAnsi="Times New Roman"/>
          <w:bCs/>
          <w:szCs w:val="24"/>
        </w:rPr>
        <w:t xml:space="preserve"> conditions were the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i/>
          <w:iCs/>
          <w:szCs w:val="24"/>
        </w:rPr>
        <w:t>independent</w:t>
      </w:r>
      <w:r w:rsidRPr="0035457F">
        <w:rPr>
          <w:rFonts w:ascii="Times New Roman" w:hAnsi="Times New Roman"/>
          <w:bCs/>
          <w:szCs w:val="24"/>
        </w:rPr>
        <w:t xml:space="preserve"> source of</w:t>
      </w:r>
      <w:r>
        <w:rPr>
          <w:rFonts w:ascii="Times New Roman" w:hAnsi="Times New Roman"/>
          <w:bCs/>
          <w:szCs w:val="24"/>
        </w:rPr>
        <w:t xml:space="preserve"> </w:t>
      </w:r>
      <w:r w:rsidRPr="0035457F">
        <w:rPr>
          <w:rFonts w:ascii="Times New Roman" w:hAnsi="Times New Roman"/>
          <w:bCs/>
          <w:szCs w:val="24"/>
        </w:rPr>
        <w:t xml:space="preserve">depression, anxiety, isolation, stress, and other emotional and </w:t>
      </w:r>
      <w:r w:rsidRPr="0035457F">
        <w:rPr>
          <w:rFonts w:ascii="Times New Roman" w:hAnsi="Times New Roman"/>
          <w:bCs/>
          <w:szCs w:val="24"/>
        </w:rPr>
        <w:lastRenderedPageBreak/>
        <w:t>psychological states among almost</w:t>
      </w:r>
      <w:r>
        <w:rPr>
          <w:rFonts w:ascii="Times New Roman" w:hAnsi="Times New Roman"/>
          <w:bCs/>
          <w:szCs w:val="24"/>
        </w:rPr>
        <w:t xml:space="preserve"> t</w:t>
      </w:r>
      <w:r w:rsidRPr="0035457F">
        <w:rPr>
          <w:rFonts w:ascii="Times New Roman" w:hAnsi="Times New Roman"/>
          <w:bCs/>
          <w:szCs w:val="24"/>
        </w:rPr>
        <w:t>hree-quarters of participants</w:t>
      </w:r>
      <w:r>
        <w:rPr>
          <w:rFonts w:ascii="Times New Roman" w:hAnsi="Times New Roman"/>
          <w:bCs/>
          <w:szCs w:val="24"/>
        </w:rPr>
        <w:t>.</w:t>
      </w:r>
      <w:r>
        <w:rPr>
          <w:rStyle w:val="FootnoteReference"/>
          <w:rFonts w:ascii="Times New Roman" w:hAnsi="Times New Roman"/>
          <w:bCs/>
          <w:szCs w:val="24"/>
        </w:rPr>
        <w:footnoteReference w:id="4"/>
      </w:r>
      <w:r>
        <w:rPr>
          <w:rFonts w:ascii="Times New Roman" w:hAnsi="Times New Roman"/>
          <w:bCs/>
          <w:szCs w:val="24"/>
        </w:rPr>
        <w:t xml:space="preserve"> This shouldn’t come as a surprise. After all,</w:t>
      </w:r>
    </w:p>
    <w:p w14:paraId="34C0E999" w14:textId="77777777" w:rsidR="00AF30A2" w:rsidRDefault="00AF30A2" w:rsidP="00AF30A2">
      <w:pPr>
        <w:pStyle w:val="Text"/>
        <w:spacing w:line="240" w:lineRule="auto"/>
        <w:ind w:left="720" w:right="360" w:firstLine="0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“</w:t>
      </w:r>
      <w:r w:rsidRPr="009110ED">
        <w:rPr>
          <w:rFonts w:ascii="Times New Roman" w:hAnsi="Times New Roman"/>
          <w:bCs/>
          <w:szCs w:val="24"/>
        </w:rPr>
        <w:t>If the youth’s home is no more than a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small room or two, or if no one is home for many hours at a time, youth are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subjected to a form of solitary confinement. This is challenging for anyone,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but especially for adolescents who have high energy and limited ability to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control their impulses. For youth struggling with conditions such as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depression or post-traumatic stress disorder, being confined to their home,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isolated from peers, or being alone (if their caregivers work), without any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structured activities, can have a profound negative impact on their mental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healt</w:t>
      </w:r>
      <w:r>
        <w:rPr>
          <w:rFonts w:ascii="Times New Roman" w:hAnsi="Times New Roman"/>
          <w:bCs/>
          <w:szCs w:val="24"/>
        </w:rPr>
        <w:t xml:space="preserve">h. </w:t>
      </w:r>
      <w:r w:rsidRPr="009110ED">
        <w:rPr>
          <w:rFonts w:ascii="Times New Roman" w:hAnsi="Times New Roman"/>
          <w:bCs/>
          <w:szCs w:val="24"/>
        </w:rPr>
        <w:t>For youth on electronic monitoring who may live in poverty or in small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apartments, and sometimes with multiple family members, the stress at home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may be amplified. The inability to walk away and go outside, especially when</w:t>
      </w:r>
      <w:r>
        <w:rPr>
          <w:rFonts w:ascii="Times New Roman" w:hAnsi="Times New Roman"/>
          <w:bCs/>
          <w:szCs w:val="24"/>
        </w:rPr>
        <w:t xml:space="preserve"> </w:t>
      </w:r>
      <w:r w:rsidRPr="009110ED">
        <w:rPr>
          <w:rFonts w:ascii="Times New Roman" w:hAnsi="Times New Roman"/>
          <w:bCs/>
          <w:szCs w:val="24"/>
        </w:rPr>
        <w:t>school is not in session, further exacerbates strained familial relationships</w:t>
      </w:r>
      <w:r>
        <w:rPr>
          <w:rFonts w:ascii="Times New Roman" w:hAnsi="Times New Roman"/>
          <w:bCs/>
          <w:szCs w:val="24"/>
        </w:rPr>
        <w:t>.”</w:t>
      </w:r>
      <w:r>
        <w:rPr>
          <w:rStyle w:val="FootnoteReference"/>
          <w:rFonts w:ascii="Times New Roman" w:hAnsi="Times New Roman"/>
          <w:bCs/>
          <w:szCs w:val="24"/>
        </w:rPr>
        <w:footnoteReference w:id="5"/>
      </w:r>
    </w:p>
    <w:p w14:paraId="67CE73FD" w14:textId="77777777" w:rsidR="00AF30A2" w:rsidRDefault="00AF30A2" w:rsidP="00AF30A2">
      <w:pPr>
        <w:pStyle w:val="Text"/>
        <w:spacing w:line="240" w:lineRule="auto"/>
        <w:ind w:left="720" w:right="360" w:firstLine="0"/>
        <w:contextualSpacing/>
        <w:rPr>
          <w:rFonts w:ascii="Times New Roman" w:hAnsi="Times New Roman"/>
          <w:bCs/>
          <w:szCs w:val="24"/>
        </w:rPr>
      </w:pPr>
    </w:p>
    <w:p w14:paraId="76448FD7" w14:textId="401971DA" w:rsidR="00AF30A2" w:rsidRDefault="00AF30A2" w:rsidP="00AF30A2">
      <w:pPr>
        <w:pStyle w:val="Text"/>
        <w:spacing w:after="240" w:line="480" w:lineRule="auto"/>
        <w:ind w:right="360" w:firstLine="0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Given that framing, </w:t>
      </w:r>
      <w:r>
        <w:rPr>
          <w:rFonts w:ascii="Times New Roman" w:hAnsi="Times New Roman"/>
          <w:bCs/>
          <w:szCs w:val="24"/>
        </w:rPr>
        <w:t>______’s</w:t>
      </w:r>
      <w:r>
        <w:rPr>
          <w:rFonts w:ascii="Times New Roman" w:hAnsi="Times New Roman"/>
          <w:bCs/>
          <w:szCs w:val="24"/>
        </w:rPr>
        <w:t xml:space="preserve"> inconsistent performance on monitoring can be better understood as an unfortunate but understandable response to ninety-seven days of intensive monitoring, not as a </w:t>
      </w:r>
      <w:r w:rsidRPr="007B7185">
        <w:rPr>
          <w:rFonts w:ascii="Times New Roman" w:hAnsi="Times New Roman"/>
          <w:bCs/>
          <w:szCs w:val="24"/>
        </w:rPr>
        <w:t xml:space="preserve">red flag signaling imminent risk to self or others.  </w:t>
      </w:r>
    </w:p>
    <w:p w14:paraId="1CFF52F2" w14:textId="77777777" w:rsidR="00C057D3" w:rsidRDefault="00C057D3"/>
    <w:sectPr w:rsidR="00C05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894B" w14:textId="77777777" w:rsidR="00AF30A2" w:rsidRDefault="00AF30A2" w:rsidP="00AF30A2">
      <w:pPr>
        <w:spacing w:after="0" w:line="240" w:lineRule="auto"/>
      </w:pPr>
      <w:r>
        <w:separator/>
      </w:r>
    </w:p>
  </w:endnote>
  <w:endnote w:type="continuationSeparator" w:id="0">
    <w:p w14:paraId="6DBB6482" w14:textId="77777777" w:rsidR="00AF30A2" w:rsidRDefault="00AF30A2" w:rsidP="00AF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1401" w14:textId="77777777" w:rsidR="00AF30A2" w:rsidRDefault="00AF30A2" w:rsidP="00AF30A2">
      <w:pPr>
        <w:spacing w:after="0" w:line="240" w:lineRule="auto"/>
      </w:pPr>
      <w:r>
        <w:separator/>
      </w:r>
    </w:p>
  </w:footnote>
  <w:footnote w:type="continuationSeparator" w:id="0">
    <w:p w14:paraId="0705AFD4" w14:textId="77777777" w:rsidR="00AF30A2" w:rsidRDefault="00AF30A2" w:rsidP="00AF30A2">
      <w:pPr>
        <w:spacing w:after="0" w:line="240" w:lineRule="auto"/>
      </w:pPr>
      <w:r>
        <w:continuationSeparator/>
      </w:r>
    </w:p>
  </w:footnote>
  <w:footnote w:id="1">
    <w:p w14:paraId="3F4F30A1" w14:textId="77777777" w:rsidR="00AF30A2" w:rsidRDefault="00AF30A2" w:rsidP="00AF30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2D40">
        <w:t>NAT’L CONFERENCE OF STATE LEGISLATURES, MENTAL HEALTH NEEDS OF JUVENILE</w:t>
      </w:r>
      <w:r w:rsidRPr="00D82D40">
        <w:br/>
        <w:t>OFFENDERS 2 (n.d.), http://www.ncsl.org/documents/cj/jjguidebook-mental.pdf.</w:t>
      </w:r>
    </w:p>
  </w:footnote>
  <w:footnote w:id="2">
    <w:p w14:paraId="5C095E56" w14:textId="77777777" w:rsidR="00AF30A2" w:rsidRDefault="00AF30A2" w:rsidP="00AF30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55B4">
        <w:t xml:space="preserve">Kate Weisburd, </w:t>
      </w:r>
      <w:r w:rsidRPr="008A55B4">
        <w:rPr>
          <w:i/>
          <w:iCs/>
        </w:rPr>
        <w:t>Monitoring Youth: the Collision of Rights and Rehabilitation</w:t>
      </w:r>
      <w:r w:rsidRPr="008A55B4">
        <w:t>, 101 Iowa L. Rev 297 (2015), 302-</w:t>
      </w:r>
      <w:r w:rsidRPr="008A55B4">
        <w:br/>
        <w:t xml:space="preserve">03, https://ilr.law.uiowa.edu/sites/ilr.law.uiowa.edu/files/2023-02/ILR-101-1-Weisburd.pdf; </w:t>
      </w:r>
      <w:r w:rsidRPr="008A55B4">
        <w:rPr>
          <w:i/>
          <w:iCs/>
        </w:rPr>
        <w:t>for issues with young</w:t>
      </w:r>
      <w:r w:rsidRPr="008A55B4">
        <w:rPr>
          <w:i/>
          <w:iCs/>
        </w:rPr>
        <w:br/>
        <w:t xml:space="preserve">people understanding and following EM rules, see </w:t>
      </w:r>
      <w:r w:rsidRPr="008A55B4">
        <w:t xml:space="preserve">Catherine Crump, </w:t>
      </w:r>
      <w:r w:rsidRPr="008A55B4">
        <w:rPr>
          <w:i/>
          <w:iCs/>
        </w:rPr>
        <w:t>Tracking the Trackers: An Examination of</w:t>
      </w:r>
      <w:r w:rsidRPr="008A55B4">
        <w:rPr>
          <w:i/>
          <w:iCs/>
        </w:rPr>
        <w:br/>
        <w:t>Electronic Monitoring of Youth in Practice</w:t>
      </w:r>
      <w:r w:rsidRPr="008A55B4">
        <w:t>, 53 U.C. Davis L. Rev. 2 (2019),</w:t>
      </w:r>
      <w:r w:rsidRPr="008A55B4">
        <w:br/>
        <w:t xml:space="preserve">https://lawreview.law.ucdavis.edu/sites/g/files/dgvnsk15026/files/media/documents/53-2_Crump.pdf; </w:t>
      </w:r>
      <w:r w:rsidRPr="008A55B4">
        <w:rPr>
          <w:i/>
          <w:iCs/>
        </w:rPr>
        <w:t>for issues with</w:t>
      </w:r>
      <w:r w:rsidRPr="008A55B4">
        <w:rPr>
          <w:i/>
          <w:iCs/>
        </w:rPr>
        <w:br/>
        <w:t xml:space="preserve">charging devices, see </w:t>
      </w:r>
      <w:r w:rsidRPr="008A55B4">
        <w:t xml:space="preserve">Shubha Balasubramanyam and Jethro Antoine, </w:t>
      </w:r>
      <w:r w:rsidRPr="008A55B4">
        <w:rPr>
          <w:i/>
          <w:iCs/>
        </w:rPr>
        <w:t>Young Offenders, Electronic Monitoring, Cell</w:t>
      </w:r>
      <w:r w:rsidRPr="008A55B4">
        <w:rPr>
          <w:i/>
          <w:iCs/>
        </w:rPr>
        <w:br/>
        <w:t>Phones, and Battery Life</w:t>
      </w:r>
      <w:r w:rsidRPr="008A55B4">
        <w:t xml:space="preserve">, J. of Offender Monitoring (2019), </w:t>
      </w:r>
      <w:hyperlink r:id="rId1" w:history="1">
        <w:r w:rsidRPr="00D54597">
          <w:rPr>
            <w:rStyle w:val="Hyperlink"/>
            <w:rFonts w:eastAsiaTheme="majorEastAsia"/>
          </w:rPr>
          <w:t>https://www.innovatingjustice.org/wpcontent/uploads/2019/06/jom-3101-01-balasubramanyam-battery.pdf</w:t>
        </w:r>
      </w:hyperlink>
      <w:r w:rsidRPr="008A55B4">
        <w:t>.</w:t>
      </w:r>
    </w:p>
  </w:footnote>
  <w:footnote w:id="3">
    <w:p w14:paraId="6E74FEE1" w14:textId="77777777" w:rsidR="00AF30A2" w:rsidRDefault="00AF30A2" w:rsidP="00AF30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16628">
        <w:t xml:space="preserve">Joseph B. Tulman, </w:t>
      </w:r>
      <w:r w:rsidRPr="00F16628">
        <w:rPr>
          <w:i/>
          <w:iCs/>
        </w:rPr>
        <w:t>Disability and Delinquency: How Failures to Identify, Accommodate, and Serve Youth with</w:t>
      </w:r>
      <w:r w:rsidRPr="00F16628">
        <w:rPr>
          <w:i/>
          <w:iCs/>
        </w:rPr>
        <w:br/>
        <w:t>Education-Related Disabilities Leads to Their Disproportionate Representation in the Delinquency System</w:t>
      </w:r>
      <w:r>
        <w:rPr>
          <w:i/>
          <w:iCs/>
        </w:rPr>
        <w:t xml:space="preserve">, </w:t>
      </w:r>
      <w:r w:rsidRPr="00D87E1F">
        <w:rPr>
          <w:smallCaps/>
        </w:rPr>
        <w:t>Whittier J. of Child and Fam. Adv.</w:t>
      </w:r>
      <w:r w:rsidRPr="00F16628">
        <w:rPr>
          <w:i/>
          <w:iCs/>
        </w:rPr>
        <w:t xml:space="preserve"> </w:t>
      </w:r>
      <w:r w:rsidRPr="00F16628">
        <w:t>(2003).</w:t>
      </w:r>
    </w:p>
  </w:footnote>
  <w:footnote w:id="4">
    <w:p w14:paraId="1962DE53" w14:textId="77777777" w:rsidR="00AF30A2" w:rsidRDefault="00AF30A2" w:rsidP="00AF30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39E3">
        <w:t xml:space="preserve">Sandra Susan Smith, Cierra Robson, </w:t>
      </w:r>
      <w:r w:rsidRPr="00C139E3">
        <w:rPr>
          <w:i/>
          <w:iCs/>
        </w:rPr>
        <w:t>Between a Rock and a Hard Place: The Social Costs of Pretrial Electronic</w:t>
      </w:r>
      <w:r w:rsidRPr="00C139E3">
        <w:rPr>
          <w:i/>
          <w:iCs/>
        </w:rPr>
        <w:br/>
        <w:t>Monitoring in San Francisco</w:t>
      </w:r>
      <w:r w:rsidRPr="00C139E3">
        <w:t>, HKS Faculty Research Working Paper Series RWP22-014, 17</w:t>
      </w:r>
      <w:r>
        <w:t>, at 31</w:t>
      </w:r>
      <w:r w:rsidRPr="00C139E3">
        <w:t xml:space="preserve"> (2022).</w:t>
      </w:r>
    </w:p>
  </w:footnote>
  <w:footnote w:id="5">
    <w:p w14:paraId="00F7CEE1" w14:textId="77777777" w:rsidR="00AF30A2" w:rsidRPr="00847DE5" w:rsidRDefault="00AF30A2" w:rsidP="00AF30A2">
      <w:pPr>
        <w:pStyle w:val="FootnoteText"/>
      </w:pPr>
      <w:r>
        <w:rPr>
          <w:rStyle w:val="FootnoteReference"/>
        </w:rPr>
        <w:footnoteRef/>
      </w:r>
      <w:r w:rsidRPr="00847DE5">
        <w:t xml:space="preserve"> Weisburd, </w:t>
      </w:r>
      <w:r w:rsidRPr="00847DE5">
        <w:rPr>
          <w:i/>
          <w:iCs/>
        </w:rPr>
        <w:t>supra</w:t>
      </w:r>
      <w:r w:rsidRPr="00847DE5">
        <w:t xml:space="preserve"> note </w:t>
      </w:r>
      <w:r>
        <w:t>2</w:t>
      </w:r>
      <w:r w:rsidRPr="00847DE5">
        <w:t>, at 328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A2"/>
    <w:rsid w:val="00494B23"/>
    <w:rsid w:val="00AF30A2"/>
    <w:rsid w:val="00C057D3"/>
    <w:rsid w:val="00F3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395"/>
  <w15:chartTrackingRefBased/>
  <w15:docId w15:val="{77814C8E-D6A5-4A4D-B147-0A8EAA8E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0A2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Normal"/>
    <w:rsid w:val="00AF30A2"/>
    <w:pPr>
      <w:spacing w:after="0" w:line="480" w:lineRule="atLeast"/>
      <w:ind w:right="-1160" w:firstLine="720"/>
    </w:pPr>
    <w:rPr>
      <w:rFonts w:ascii="Courier" w:eastAsia="Times New Roman" w:hAnsi="Courier" w:cs="Times New Roman"/>
      <w:kern w:val="0"/>
      <w:szCs w:val="20"/>
      <w14:ligatures w14:val="none"/>
    </w:rPr>
  </w:style>
  <w:style w:type="character" w:styleId="Hyperlink">
    <w:name w:val="Hyperlink"/>
    <w:uiPriority w:val="99"/>
    <w:unhideWhenUsed/>
    <w:rsid w:val="00AF30A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F30A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AF30A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AF3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novatingjustice.org/wpcontent/uploads/2019/06/jom-3101-01-balasubramanyam-batte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2185</Characters>
  <Application>Microsoft Office Word</Application>
  <DocSecurity>0</DocSecurity>
  <Lines>40</Lines>
  <Paragraphs>12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Keiler Beers</dc:creator>
  <cp:keywords/>
  <dc:description/>
  <cp:lastModifiedBy>Keiler Beers</cp:lastModifiedBy>
  <cp:revision>1</cp:revision>
  <dcterms:created xsi:type="dcterms:W3CDTF">2026-02-09T20:39:00Z</dcterms:created>
  <dcterms:modified xsi:type="dcterms:W3CDTF">2026-02-09T20:39:00Z</dcterms:modified>
</cp:coreProperties>
</file>