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2ACC" w14:textId="77777777" w:rsidR="00502C87" w:rsidRDefault="00502C87" w:rsidP="00502C87">
      <w:pPr>
        <w:jc w:val="center"/>
      </w:pPr>
    </w:p>
    <w:p w14:paraId="0CB19740" w14:textId="77777777" w:rsidR="00502C87" w:rsidRDefault="00502C87" w:rsidP="00502C87">
      <w:pPr>
        <w:jc w:val="center"/>
      </w:pPr>
    </w:p>
    <w:p w14:paraId="14041C23" w14:textId="77777777" w:rsidR="00502C87" w:rsidRDefault="00502C87" w:rsidP="00502C87">
      <w:pPr>
        <w:jc w:val="center"/>
      </w:pPr>
      <w:r>
        <w:t>IN THE CIRCUIT COURT OF THE STATE OF OREGON</w:t>
      </w:r>
    </w:p>
    <w:p w14:paraId="7CB832CB" w14:textId="77777777" w:rsidR="00502C87" w:rsidRDefault="00502C87" w:rsidP="00502C87">
      <w:pPr>
        <w:spacing w:line="480" w:lineRule="exact"/>
        <w:jc w:val="center"/>
      </w:pPr>
      <w:r>
        <w:t xml:space="preserve">FOR THE COUNTY OF </w:t>
      </w:r>
      <w:bookmarkStart w:id="0" w:name="County"/>
      <w:bookmarkEnd w:id="0"/>
      <w:r w:rsidR="00753944">
        <w:t>MULTNOMAH</w:t>
      </w:r>
    </w:p>
    <w:p w14:paraId="41818BE9" w14:textId="77777777" w:rsidR="00502C87" w:rsidRDefault="00502C87" w:rsidP="00502C87">
      <w:pPr>
        <w:jc w:val="center"/>
      </w:pPr>
    </w:p>
    <w:tbl>
      <w:tblPr>
        <w:tblW w:w="0" w:type="auto"/>
        <w:tblLayout w:type="fixed"/>
        <w:tblCellMar>
          <w:left w:w="0" w:type="dxa"/>
          <w:right w:w="0" w:type="dxa"/>
        </w:tblCellMar>
        <w:tblLook w:val="0000" w:firstRow="0" w:lastRow="0" w:firstColumn="0" w:lastColumn="0" w:noHBand="0" w:noVBand="0"/>
      </w:tblPr>
      <w:tblGrid>
        <w:gridCol w:w="4500"/>
        <w:gridCol w:w="270"/>
        <w:gridCol w:w="4820"/>
      </w:tblGrid>
      <w:tr w:rsidR="00502C87" w14:paraId="030025D9" w14:textId="77777777" w:rsidTr="00067951">
        <w:trPr>
          <w:cantSplit/>
          <w:trHeight w:val="80"/>
        </w:trPr>
        <w:tc>
          <w:tcPr>
            <w:tcW w:w="4500" w:type="dxa"/>
          </w:tcPr>
          <w:p w14:paraId="21E12E5B" w14:textId="77777777" w:rsidR="00502C87" w:rsidRDefault="00753944" w:rsidP="00172795">
            <w:pPr>
              <w:pStyle w:val="Table"/>
              <w:tabs>
                <w:tab w:val="clear" w:pos="1440"/>
                <w:tab w:val="left" w:pos="720"/>
              </w:tabs>
              <w:spacing w:line="240" w:lineRule="exact"/>
            </w:pPr>
            <w:bookmarkStart w:id="1" w:name="pl"/>
            <w:bookmarkEnd w:id="1"/>
            <w:r>
              <w:t>In the Matter of</w:t>
            </w:r>
          </w:p>
          <w:p w14:paraId="56BC2230" w14:textId="77777777" w:rsidR="00502C87" w:rsidRDefault="00502C87" w:rsidP="00172795">
            <w:pPr>
              <w:pStyle w:val="Table"/>
              <w:tabs>
                <w:tab w:val="clear" w:pos="1440"/>
                <w:tab w:val="left" w:pos="720"/>
              </w:tabs>
              <w:spacing w:line="240" w:lineRule="exact"/>
            </w:pPr>
          </w:p>
          <w:p w14:paraId="497013D7" w14:textId="25BC6C77" w:rsidR="00502C87" w:rsidRDefault="00AF66A1" w:rsidP="00172795">
            <w:pPr>
              <w:pStyle w:val="Table"/>
              <w:tabs>
                <w:tab w:val="clear" w:pos="1440"/>
                <w:tab w:val="left" w:pos="720"/>
              </w:tabs>
              <w:spacing w:line="240" w:lineRule="exact"/>
            </w:pPr>
            <w:bookmarkStart w:id="2" w:name="pl2"/>
            <w:bookmarkEnd w:id="2"/>
            <w:r>
              <w:t>______</w:t>
            </w:r>
            <w:r w:rsidR="00B22BE0">
              <w:t xml:space="preserve"> </w:t>
            </w:r>
            <w:r>
              <w:t>______</w:t>
            </w:r>
          </w:p>
          <w:p w14:paraId="6BB60CE0" w14:textId="77777777" w:rsidR="00502C87" w:rsidRDefault="00502C87" w:rsidP="00753944">
            <w:pPr>
              <w:pStyle w:val="Table"/>
              <w:tabs>
                <w:tab w:val="clear" w:pos="1440"/>
                <w:tab w:val="left" w:pos="720"/>
              </w:tabs>
              <w:spacing w:line="240" w:lineRule="exact"/>
            </w:pPr>
          </w:p>
          <w:p w14:paraId="4218CB2F" w14:textId="77777777" w:rsidR="00753944" w:rsidRDefault="00753944" w:rsidP="00753944">
            <w:pPr>
              <w:pStyle w:val="Table"/>
              <w:tabs>
                <w:tab w:val="clear" w:pos="1440"/>
                <w:tab w:val="left" w:pos="720"/>
              </w:tabs>
              <w:spacing w:line="240" w:lineRule="exact"/>
            </w:pPr>
            <w:proofErr w:type="gramStart"/>
            <w:r>
              <w:t>A Youth</w:t>
            </w:r>
            <w:proofErr w:type="gramEnd"/>
          </w:p>
          <w:p w14:paraId="0FF97E44" w14:textId="30D46CF5" w:rsidR="00753944" w:rsidRDefault="00753944" w:rsidP="00753944">
            <w:pPr>
              <w:pStyle w:val="Table"/>
              <w:tabs>
                <w:tab w:val="clear" w:pos="1440"/>
                <w:tab w:val="left" w:pos="720"/>
              </w:tabs>
              <w:spacing w:line="240" w:lineRule="exact"/>
            </w:pPr>
          </w:p>
        </w:tc>
        <w:tc>
          <w:tcPr>
            <w:tcW w:w="270" w:type="dxa"/>
            <w:tcBorders>
              <w:left w:val="nil"/>
            </w:tcBorders>
          </w:tcPr>
          <w:p w14:paraId="716DB26B" w14:textId="77777777" w:rsidR="00502C87" w:rsidRDefault="00502C87" w:rsidP="00172795">
            <w:pPr>
              <w:pStyle w:val="Table"/>
              <w:spacing w:line="240" w:lineRule="exact"/>
              <w:ind w:right="36"/>
            </w:pPr>
            <w:bookmarkStart w:id="3" w:name="par"/>
            <w:bookmarkEnd w:id="3"/>
            <w:r>
              <w:t>)</w:t>
            </w:r>
          </w:p>
          <w:p w14:paraId="1862AA29" w14:textId="77777777" w:rsidR="00502C87" w:rsidRDefault="00502C87" w:rsidP="00172795">
            <w:pPr>
              <w:pStyle w:val="Table"/>
              <w:spacing w:line="240" w:lineRule="exact"/>
              <w:ind w:right="36"/>
            </w:pPr>
            <w:r>
              <w:t>)</w:t>
            </w:r>
          </w:p>
          <w:p w14:paraId="1C26A0F7" w14:textId="77777777" w:rsidR="00502C87" w:rsidRDefault="00502C87" w:rsidP="00172795">
            <w:pPr>
              <w:pStyle w:val="Table"/>
              <w:spacing w:line="240" w:lineRule="exact"/>
              <w:ind w:right="36"/>
            </w:pPr>
            <w:r>
              <w:t>)</w:t>
            </w:r>
          </w:p>
          <w:p w14:paraId="10F9F4CE" w14:textId="77777777" w:rsidR="00502C87" w:rsidRDefault="00502C87" w:rsidP="00172795">
            <w:pPr>
              <w:pStyle w:val="Table"/>
              <w:spacing w:line="240" w:lineRule="exact"/>
              <w:ind w:right="36"/>
            </w:pPr>
            <w:r>
              <w:t>)</w:t>
            </w:r>
          </w:p>
          <w:p w14:paraId="60314AD7" w14:textId="77777777" w:rsidR="00502C87" w:rsidRDefault="00502C87" w:rsidP="00172795">
            <w:pPr>
              <w:pStyle w:val="Table"/>
              <w:spacing w:line="240" w:lineRule="exact"/>
              <w:ind w:right="36"/>
            </w:pPr>
            <w:r>
              <w:t>)</w:t>
            </w:r>
          </w:p>
          <w:p w14:paraId="5E11094C" w14:textId="77777777" w:rsidR="00502C87" w:rsidRDefault="00502C87" w:rsidP="00172795">
            <w:pPr>
              <w:pStyle w:val="Table"/>
              <w:spacing w:line="240" w:lineRule="exact"/>
              <w:ind w:right="36"/>
            </w:pPr>
            <w:r>
              <w:t>)</w:t>
            </w:r>
          </w:p>
          <w:p w14:paraId="4E9E97BA" w14:textId="77777777" w:rsidR="00502C87" w:rsidRDefault="00502C87" w:rsidP="00172795">
            <w:pPr>
              <w:pStyle w:val="Table"/>
              <w:spacing w:line="240" w:lineRule="exact"/>
              <w:ind w:right="36"/>
            </w:pPr>
            <w:r>
              <w:t>)</w:t>
            </w:r>
          </w:p>
          <w:p w14:paraId="352FA2B9" w14:textId="77777777" w:rsidR="00502C87" w:rsidRDefault="00502C87" w:rsidP="00172795">
            <w:pPr>
              <w:pStyle w:val="Table"/>
              <w:spacing w:line="240" w:lineRule="exact"/>
              <w:ind w:right="36"/>
            </w:pPr>
            <w:r>
              <w:t>)</w:t>
            </w:r>
          </w:p>
          <w:p w14:paraId="7F82591D" w14:textId="77777777" w:rsidR="00502C87" w:rsidRDefault="00502C87" w:rsidP="00172795">
            <w:pPr>
              <w:pStyle w:val="Table"/>
              <w:spacing w:line="240" w:lineRule="exact"/>
              <w:ind w:right="36"/>
            </w:pPr>
            <w:r>
              <w:t>)</w:t>
            </w:r>
          </w:p>
        </w:tc>
        <w:tc>
          <w:tcPr>
            <w:tcW w:w="4820" w:type="dxa"/>
          </w:tcPr>
          <w:p w14:paraId="46A1996F" w14:textId="7FFD6698" w:rsidR="00753944" w:rsidRPr="0053012A" w:rsidRDefault="00502C87" w:rsidP="00172795">
            <w:pPr>
              <w:pStyle w:val="Table2"/>
              <w:spacing w:before="0"/>
              <w:ind w:left="270"/>
              <w:rPr>
                <w:lang w:val="es-US"/>
              </w:rPr>
            </w:pPr>
            <w:r w:rsidRPr="0053012A">
              <w:rPr>
                <w:lang w:val="es-US"/>
              </w:rPr>
              <w:t>No</w:t>
            </w:r>
            <w:r w:rsidR="0053012A" w:rsidRPr="0053012A">
              <w:rPr>
                <w:lang w:val="es-US"/>
              </w:rPr>
              <w:t>s</w:t>
            </w:r>
            <w:r w:rsidRPr="0053012A">
              <w:rPr>
                <w:lang w:val="es-US"/>
              </w:rPr>
              <w:t xml:space="preserve">. </w:t>
            </w:r>
            <w:bookmarkStart w:id="4" w:name="no"/>
            <w:bookmarkEnd w:id="4"/>
          </w:p>
          <w:p w14:paraId="229C26F5" w14:textId="3755D798" w:rsidR="0053012A" w:rsidRDefault="0053012A" w:rsidP="00172795">
            <w:pPr>
              <w:pStyle w:val="Table2"/>
              <w:spacing w:before="0"/>
              <w:ind w:left="270"/>
              <w:rPr>
                <w:lang w:val="es-US"/>
              </w:rPr>
            </w:pPr>
            <w:r w:rsidRPr="0053012A">
              <w:rPr>
                <w:lang w:val="es-US"/>
              </w:rPr>
              <w:t xml:space="preserve">Petition Nos. </w:t>
            </w:r>
          </w:p>
          <w:p w14:paraId="37D5526F" w14:textId="733CBE27" w:rsidR="00FF29F4" w:rsidRPr="0053012A" w:rsidRDefault="00FF29F4" w:rsidP="00172795">
            <w:pPr>
              <w:pStyle w:val="Table2"/>
              <w:spacing w:before="0"/>
              <w:ind w:left="270"/>
              <w:rPr>
                <w:lang w:val="es-US"/>
              </w:rPr>
            </w:pPr>
            <w:r>
              <w:rPr>
                <w:lang w:val="es-US"/>
              </w:rPr>
              <w:t>JJIS:</w:t>
            </w:r>
          </w:p>
          <w:p w14:paraId="40880061" w14:textId="77777777" w:rsidR="00502C87" w:rsidRPr="0053012A" w:rsidRDefault="00502C87" w:rsidP="00753944">
            <w:pPr>
              <w:pStyle w:val="Table2"/>
              <w:spacing w:before="0"/>
              <w:ind w:left="0"/>
              <w:rPr>
                <w:lang w:val="es-US"/>
              </w:rPr>
            </w:pPr>
          </w:p>
          <w:p w14:paraId="3C8366E6" w14:textId="77777777" w:rsidR="00502C87" w:rsidRPr="0053012A" w:rsidRDefault="00502C87" w:rsidP="00172795">
            <w:pPr>
              <w:ind w:left="320" w:right="180"/>
              <w:rPr>
                <w:lang w:val="es-US"/>
              </w:rPr>
            </w:pPr>
          </w:p>
          <w:p w14:paraId="180F6158" w14:textId="77777777" w:rsidR="00502C87" w:rsidRDefault="004319C9" w:rsidP="00753944">
            <w:pPr>
              <w:pStyle w:val="Table"/>
              <w:tabs>
                <w:tab w:val="left" w:pos="270"/>
              </w:tabs>
              <w:spacing w:line="240" w:lineRule="exact"/>
            </w:pPr>
            <w:r>
              <w:t xml:space="preserve">MOTION FOR </w:t>
            </w:r>
            <w:r w:rsidR="00753944">
              <w:t>RELEASE</w:t>
            </w:r>
          </w:p>
          <w:p w14:paraId="21163401" w14:textId="77777777" w:rsidR="004319C9" w:rsidRDefault="004319C9" w:rsidP="00172795">
            <w:pPr>
              <w:pStyle w:val="Table"/>
              <w:tabs>
                <w:tab w:val="left" w:pos="270"/>
              </w:tabs>
              <w:spacing w:line="240" w:lineRule="exact"/>
            </w:pPr>
          </w:p>
          <w:p w14:paraId="6BD5C554" w14:textId="77777777" w:rsidR="00502C87" w:rsidRPr="00857526" w:rsidRDefault="00502C87" w:rsidP="00502C87">
            <w:pPr>
              <w:pStyle w:val="Table"/>
              <w:tabs>
                <w:tab w:val="left" w:pos="270"/>
              </w:tabs>
              <w:spacing w:line="240" w:lineRule="exact"/>
              <w:rPr>
                <w:b/>
              </w:rPr>
            </w:pPr>
            <w:r>
              <w:t>Oral Argument Requested</w:t>
            </w:r>
          </w:p>
        </w:tc>
      </w:tr>
      <w:tr w:rsidR="00502C87" w14:paraId="1AC5D466" w14:textId="77777777" w:rsidTr="00172795">
        <w:trPr>
          <w:cantSplit/>
        </w:trPr>
        <w:tc>
          <w:tcPr>
            <w:tcW w:w="4500" w:type="dxa"/>
          </w:tcPr>
          <w:p w14:paraId="37B8B2E6" w14:textId="77777777" w:rsidR="00502C87" w:rsidRDefault="00502C87" w:rsidP="00172795">
            <w:pPr>
              <w:pStyle w:val="Table"/>
              <w:tabs>
                <w:tab w:val="clear" w:pos="1440"/>
                <w:tab w:val="left" w:pos="720"/>
              </w:tabs>
              <w:spacing w:line="240" w:lineRule="exact"/>
            </w:pPr>
          </w:p>
        </w:tc>
        <w:tc>
          <w:tcPr>
            <w:tcW w:w="270" w:type="dxa"/>
            <w:tcBorders>
              <w:left w:val="nil"/>
            </w:tcBorders>
          </w:tcPr>
          <w:p w14:paraId="43B3FCD2" w14:textId="77777777" w:rsidR="00502C87" w:rsidRDefault="00502C87" w:rsidP="00172795">
            <w:pPr>
              <w:pStyle w:val="Table"/>
              <w:spacing w:line="240" w:lineRule="exact"/>
              <w:ind w:right="36"/>
            </w:pPr>
          </w:p>
        </w:tc>
        <w:tc>
          <w:tcPr>
            <w:tcW w:w="4820" w:type="dxa"/>
          </w:tcPr>
          <w:p w14:paraId="6AF6D7E8" w14:textId="77777777" w:rsidR="00502C87" w:rsidRDefault="00502C87" w:rsidP="00172795">
            <w:pPr>
              <w:pStyle w:val="Table2"/>
              <w:spacing w:before="0"/>
              <w:ind w:left="270"/>
            </w:pPr>
          </w:p>
        </w:tc>
      </w:tr>
    </w:tbl>
    <w:p w14:paraId="3271FCEF" w14:textId="77777777" w:rsidR="00502C87" w:rsidRPr="00987F3F" w:rsidRDefault="00502C87" w:rsidP="0060081B">
      <w:pPr>
        <w:pStyle w:val="Text"/>
        <w:spacing w:line="240" w:lineRule="auto"/>
        <w:ind w:right="360" w:firstLine="0"/>
        <w:contextualSpacing/>
        <w:jc w:val="center"/>
        <w:rPr>
          <w:rFonts w:ascii="Times New Roman" w:hAnsi="Times New Roman"/>
          <w:b/>
        </w:rPr>
      </w:pPr>
      <w:r>
        <w:rPr>
          <w:rFonts w:ascii="Times New Roman" w:hAnsi="Times New Roman"/>
          <w:b/>
        </w:rPr>
        <w:t xml:space="preserve">MOTION </w:t>
      </w:r>
    </w:p>
    <w:p w14:paraId="7BFF84E6" w14:textId="6CBE8C93" w:rsidR="00D25A58" w:rsidRPr="00ED5142" w:rsidRDefault="004319C9" w:rsidP="0060081B">
      <w:pPr>
        <w:pStyle w:val="Body"/>
      </w:pPr>
      <w:r>
        <w:tab/>
        <w:t xml:space="preserve">COMES NOW </w:t>
      </w:r>
      <w:r w:rsidR="006C5078">
        <w:t>the youth</w:t>
      </w:r>
      <w:r>
        <w:t>,</w:t>
      </w:r>
      <w:r w:rsidR="00AD015B">
        <w:t xml:space="preserve"> by and through </w:t>
      </w:r>
      <w:r w:rsidR="00753944">
        <w:t>his</w:t>
      </w:r>
      <w:r w:rsidR="004E589A">
        <w:t xml:space="preserve"> attorney, </w:t>
      </w:r>
      <w:r w:rsidR="00753944">
        <w:t>Keiler Beers</w:t>
      </w:r>
      <w:r w:rsidR="004E589A">
        <w:t xml:space="preserve">, and </w:t>
      </w:r>
      <w:r w:rsidR="00DA55F8">
        <w:t xml:space="preserve">moves </w:t>
      </w:r>
      <w:r w:rsidR="004E589A">
        <w:t>this Court for a</w:t>
      </w:r>
      <w:r w:rsidR="00F425CB">
        <w:t>n</w:t>
      </w:r>
      <w:r w:rsidR="004E589A">
        <w:t xml:space="preserve"> </w:t>
      </w:r>
      <w:r w:rsidR="00F425CB">
        <w:t xml:space="preserve">Order </w:t>
      </w:r>
      <w:r w:rsidR="00753944">
        <w:t>of release from detention. This</w:t>
      </w:r>
      <w:r>
        <w:rPr>
          <w:szCs w:val="24"/>
        </w:rPr>
        <w:t xml:space="preserve"> m</w:t>
      </w:r>
      <w:r w:rsidR="004E589A" w:rsidRPr="006C2A46">
        <w:rPr>
          <w:szCs w:val="24"/>
        </w:rPr>
        <w:t xml:space="preserve">otion is, in the opinion of </w:t>
      </w:r>
      <w:proofErr w:type="gramStart"/>
      <w:r w:rsidR="004E589A" w:rsidRPr="006C2A46">
        <w:rPr>
          <w:szCs w:val="24"/>
        </w:rPr>
        <w:t>defense</w:t>
      </w:r>
      <w:proofErr w:type="gramEnd"/>
      <w:r w:rsidR="004E589A" w:rsidRPr="006C2A46">
        <w:rPr>
          <w:szCs w:val="24"/>
        </w:rPr>
        <w:t xml:space="preserve"> counsel, well founded and not filed for purposes of delay</w:t>
      </w:r>
      <w:r>
        <w:rPr>
          <w:szCs w:val="24"/>
        </w:rPr>
        <w:t xml:space="preserve"> or the waste of judicial resources</w:t>
      </w:r>
      <w:r w:rsidR="004E589A" w:rsidRPr="006C2A46">
        <w:rPr>
          <w:szCs w:val="24"/>
        </w:rPr>
        <w:t>. T</w:t>
      </w:r>
      <w:r>
        <w:rPr>
          <w:szCs w:val="24"/>
        </w:rPr>
        <w:t>his m</w:t>
      </w:r>
      <w:r w:rsidR="006C5078">
        <w:rPr>
          <w:szCs w:val="24"/>
        </w:rPr>
        <w:t xml:space="preserve">otion is </w:t>
      </w:r>
      <w:r w:rsidR="004E589A" w:rsidRPr="006C2A46">
        <w:rPr>
          <w:szCs w:val="24"/>
        </w:rPr>
        <w:t xml:space="preserve">supported by the </w:t>
      </w:r>
      <w:r w:rsidR="004E589A">
        <w:rPr>
          <w:szCs w:val="24"/>
        </w:rPr>
        <w:t>following citations of law a</w:t>
      </w:r>
      <w:r w:rsidR="004E589A" w:rsidRPr="006C2A46">
        <w:rPr>
          <w:szCs w:val="24"/>
        </w:rPr>
        <w:t>nd any evidence, testimony, or arguments to be presented at a hearing on this matter. Defense counsel estimates that this Motion will take</w:t>
      </w:r>
      <w:r w:rsidR="004E589A">
        <w:rPr>
          <w:szCs w:val="24"/>
        </w:rPr>
        <w:t xml:space="preserve"> 30 minutes</w:t>
      </w:r>
      <w:r w:rsidR="00F425CB">
        <w:rPr>
          <w:szCs w:val="24"/>
        </w:rPr>
        <w:t xml:space="preserve"> or less</w:t>
      </w:r>
      <w:r w:rsidR="004E589A" w:rsidRPr="006C2A46">
        <w:rPr>
          <w:szCs w:val="24"/>
        </w:rPr>
        <w:t xml:space="preserve">. </w:t>
      </w:r>
    </w:p>
    <w:p w14:paraId="149A7487" w14:textId="77777777" w:rsidR="00502C87" w:rsidRDefault="00502C87" w:rsidP="0060081B">
      <w:pPr>
        <w:pStyle w:val="Text"/>
        <w:spacing w:line="480" w:lineRule="auto"/>
        <w:ind w:right="360" w:firstLine="0"/>
        <w:contextualSpacing/>
        <w:jc w:val="center"/>
        <w:rPr>
          <w:rFonts w:ascii="Times New Roman" w:hAnsi="Times New Roman"/>
          <w:b/>
        </w:rPr>
      </w:pPr>
      <w:r>
        <w:rPr>
          <w:rFonts w:ascii="Times New Roman" w:hAnsi="Times New Roman"/>
          <w:b/>
        </w:rPr>
        <w:t xml:space="preserve">FACTS </w:t>
      </w:r>
    </w:p>
    <w:p w14:paraId="577185E4" w14:textId="5419F5AB" w:rsidR="0045418C" w:rsidRDefault="00502C87" w:rsidP="00AF66A1">
      <w:pPr>
        <w:pStyle w:val="Text"/>
        <w:spacing w:line="480" w:lineRule="auto"/>
        <w:ind w:right="360" w:firstLine="0"/>
        <w:contextualSpacing/>
        <w:rPr>
          <w:rFonts w:ascii="Times New Roman" w:hAnsi="Times New Roman"/>
        </w:rPr>
      </w:pPr>
      <w:r>
        <w:rPr>
          <w:rFonts w:ascii="Times New Roman" w:hAnsi="Times New Roman"/>
        </w:rPr>
        <w:tab/>
      </w:r>
      <w:r w:rsidR="00F8351E">
        <w:rPr>
          <w:rFonts w:ascii="Times New Roman" w:hAnsi="Times New Roman"/>
        </w:rPr>
        <w:t xml:space="preserve"> </w:t>
      </w:r>
      <w:r w:rsidR="00A816AC">
        <w:rPr>
          <w:rFonts w:ascii="Times New Roman" w:hAnsi="Times New Roman"/>
        </w:rPr>
        <w:tab/>
      </w:r>
      <w:r w:rsidR="000A5E7A">
        <w:rPr>
          <w:rFonts w:ascii="Times New Roman" w:hAnsi="Times New Roman"/>
        </w:rPr>
        <w:t xml:space="preserve"> </w:t>
      </w:r>
    </w:p>
    <w:p w14:paraId="1A8DC768" w14:textId="570889F3" w:rsidR="0032192D" w:rsidRDefault="0032192D" w:rsidP="00753944">
      <w:pPr>
        <w:pStyle w:val="Text"/>
        <w:spacing w:line="480" w:lineRule="auto"/>
        <w:ind w:right="360" w:firstLine="0"/>
        <w:contextualSpacing/>
        <w:jc w:val="center"/>
        <w:rPr>
          <w:rFonts w:ascii="Times New Roman" w:hAnsi="Times New Roman"/>
          <w:b/>
        </w:rPr>
      </w:pPr>
      <w:r w:rsidRPr="00E6346D">
        <w:rPr>
          <w:rFonts w:ascii="Times New Roman" w:hAnsi="Times New Roman"/>
          <w:b/>
        </w:rPr>
        <w:t>ARGUMENT</w:t>
      </w:r>
    </w:p>
    <w:p w14:paraId="5863746D" w14:textId="44D02427" w:rsidR="00A04444" w:rsidRPr="00D662D2" w:rsidRDefault="00A04444" w:rsidP="00A04444">
      <w:pPr>
        <w:pStyle w:val="Text"/>
        <w:spacing w:line="480" w:lineRule="auto"/>
        <w:ind w:right="360" w:firstLine="0"/>
        <w:contextualSpacing/>
        <w:rPr>
          <w:rFonts w:ascii="Times New Roman" w:hAnsi="Times New Roman"/>
          <w:bCs/>
          <w:i/>
          <w:iCs/>
          <w:u w:val="single"/>
        </w:rPr>
      </w:pPr>
      <w:r w:rsidRPr="00D662D2">
        <w:rPr>
          <w:rFonts w:ascii="Times New Roman" w:hAnsi="Times New Roman"/>
          <w:bCs/>
          <w:i/>
          <w:iCs/>
          <w:u w:val="single"/>
        </w:rPr>
        <w:t xml:space="preserve">Pre-trial detention causes </w:t>
      </w:r>
      <w:r w:rsidR="007415BA" w:rsidRPr="00D662D2">
        <w:rPr>
          <w:rFonts w:ascii="Times New Roman" w:hAnsi="Times New Roman"/>
          <w:bCs/>
          <w:i/>
          <w:iCs/>
          <w:u w:val="single"/>
        </w:rPr>
        <w:t xml:space="preserve">significant harm to </w:t>
      </w:r>
      <w:r w:rsidR="00AF66A1">
        <w:rPr>
          <w:rFonts w:ascii="Times New Roman" w:hAnsi="Times New Roman"/>
          <w:bCs/>
          <w:i/>
          <w:iCs/>
          <w:u w:val="single"/>
        </w:rPr>
        <w:t>______</w:t>
      </w:r>
      <w:r w:rsidR="004960F4">
        <w:rPr>
          <w:rFonts w:ascii="Times New Roman" w:hAnsi="Times New Roman"/>
          <w:bCs/>
          <w:i/>
          <w:iCs/>
          <w:u w:val="single"/>
        </w:rPr>
        <w:t xml:space="preserve"> and his</w:t>
      </w:r>
      <w:r w:rsidR="007415BA" w:rsidRPr="00D662D2">
        <w:rPr>
          <w:rFonts w:ascii="Times New Roman" w:hAnsi="Times New Roman"/>
          <w:bCs/>
          <w:i/>
          <w:iCs/>
          <w:u w:val="single"/>
        </w:rPr>
        <w:t xml:space="preserve"> mental health</w:t>
      </w:r>
    </w:p>
    <w:p w14:paraId="33AAF63A" w14:textId="2E57A64F" w:rsidR="002622AD" w:rsidRPr="000C0C21" w:rsidRDefault="005A0134" w:rsidP="000C0C21">
      <w:pPr>
        <w:pStyle w:val="Text"/>
        <w:spacing w:line="480" w:lineRule="auto"/>
        <w:ind w:right="360" w:firstLine="0"/>
        <w:contextualSpacing/>
        <w:rPr>
          <w:rFonts w:ascii="Times New Roman" w:hAnsi="Times New Roman"/>
          <w:b/>
          <w:szCs w:val="24"/>
        </w:rPr>
      </w:pPr>
      <w:r w:rsidRPr="005A0134">
        <w:rPr>
          <w:rFonts w:ascii="Times New Roman" w:hAnsi="Times New Roman"/>
          <w:b/>
          <w:szCs w:val="24"/>
        </w:rPr>
        <w:tab/>
      </w:r>
      <w:r w:rsidR="00A0585A">
        <w:rPr>
          <w:rFonts w:ascii="Times New Roman" w:hAnsi="Times New Roman"/>
          <w:szCs w:val="24"/>
        </w:rPr>
        <w:t>Unnecessarily</w:t>
      </w:r>
      <w:r w:rsidR="00E6346D" w:rsidRPr="00B66D50">
        <w:rPr>
          <w:rFonts w:ascii="Times New Roman" w:hAnsi="Times New Roman"/>
          <w:szCs w:val="24"/>
        </w:rPr>
        <w:t xml:space="preserve"> holding a child prior to adjudication is not simply an inconvenience for the </w:t>
      </w:r>
      <w:proofErr w:type="gramStart"/>
      <w:r w:rsidR="00E6346D" w:rsidRPr="00B66D50">
        <w:rPr>
          <w:rFonts w:ascii="Times New Roman" w:hAnsi="Times New Roman"/>
          <w:szCs w:val="24"/>
        </w:rPr>
        <w:t>accused, but</w:t>
      </w:r>
      <w:proofErr w:type="gramEnd"/>
      <w:r w:rsidR="00E6346D" w:rsidRPr="00B66D50">
        <w:rPr>
          <w:rFonts w:ascii="Times New Roman" w:hAnsi="Times New Roman"/>
          <w:szCs w:val="24"/>
        </w:rPr>
        <w:t xml:space="preserve"> creates a ripple effect because it places the child at a marked disadvantage prior to </w:t>
      </w:r>
      <w:r w:rsidR="00E6346D" w:rsidRPr="00315C95">
        <w:rPr>
          <w:rFonts w:ascii="Times New Roman" w:hAnsi="Times New Roman"/>
          <w:szCs w:val="24"/>
        </w:rPr>
        <w:t xml:space="preserve">adjudication. </w:t>
      </w:r>
      <w:r w:rsidR="00181696" w:rsidRPr="00315C95">
        <w:rPr>
          <w:rStyle w:val="FootnoteReference"/>
          <w:rFonts w:ascii="Times New Roman" w:hAnsi="Times New Roman"/>
          <w:szCs w:val="24"/>
        </w:rPr>
        <w:footnoteReference w:id="1"/>
      </w:r>
      <w:r w:rsidR="00E6346D" w:rsidRPr="00315C95">
        <w:rPr>
          <w:rFonts w:ascii="Times New Roman" w:hAnsi="Times New Roman"/>
          <w:szCs w:val="24"/>
        </w:rPr>
        <w:t>Additionally, detaining children could have an enduring traumatic impact and may increase recidivism.</w:t>
      </w:r>
      <w:r w:rsidR="00181696" w:rsidRPr="00315C95">
        <w:rPr>
          <w:rStyle w:val="FootnoteReference"/>
          <w:rFonts w:ascii="Times New Roman" w:hAnsi="Times New Roman"/>
          <w:szCs w:val="24"/>
        </w:rPr>
        <w:footnoteReference w:id="2"/>
      </w:r>
      <w:r w:rsidR="00E6346D" w:rsidRPr="00315C95">
        <w:rPr>
          <w:rFonts w:ascii="Times New Roman" w:hAnsi="Times New Roman"/>
          <w:szCs w:val="24"/>
        </w:rPr>
        <w:t xml:space="preserve"> </w:t>
      </w:r>
      <w:r w:rsidR="00024949" w:rsidRPr="00315C95">
        <w:rPr>
          <w:rFonts w:ascii="Times New Roman" w:hAnsi="Times New Roman"/>
        </w:rPr>
        <w:t xml:space="preserve">Even </w:t>
      </w:r>
      <w:r w:rsidR="00D5019A" w:rsidRPr="00315C95">
        <w:rPr>
          <w:rFonts w:ascii="Times New Roman" w:hAnsi="Times New Roman"/>
        </w:rPr>
        <w:t xml:space="preserve">time in detention for shorter periods of time can have serious, and long-lasting, negative effects. </w:t>
      </w:r>
      <w:r w:rsidR="00024949" w:rsidRPr="00315C95">
        <w:rPr>
          <w:rFonts w:ascii="Times New Roman" w:hAnsi="Times New Roman"/>
        </w:rPr>
        <w:t xml:space="preserve"> </w:t>
      </w:r>
      <w:r w:rsidR="00DE2B21" w:rsidRPr="00315C95">
        <w:rPr>
          <w:rFonts w:ascii="Times New Roman" w:hAnsi="Times New Roman"/>
          <w:color w:val="222222"/>
          <w:shd w:val="clear" w:color="auto" w:fill="FFFFFF"/>
        </w:rPr>
        <w:t>F</w:t>
      </w:r>
      <w:r w:rsidR="00DE2B21" w:rsidRPr="005D56A4">
        <w:rPr>
          <w:rFonts w:ascii="Times New Roman" w:hAnsi="Times New Roman"/>
          <w:shd w:val="clear" w:color="auto" w:fill="FFFFFF"/>
        </w:rPr>
        <w:t>or the study, “How Does Incarcerating Young People Affect Their Adult Health Outcomes?” </w:t>
      </w:r>
      <w:r w:rsidR="00DE2B21" w:rsidRPr="00315C95">
        <w:rPr>
          <w:rFonts w:ascii="Times New Roman" w:hAnsi="Times New Roman"/>
          <w:color w:val="222222"/>
          <w:shd w:val="clear" w:color="auto" w:fill="FFFFFF"/>
        </w:rPr>
        <w:t>researchers analyzed National Longitudinal Study of Adolescent to Adult Health data and found a link may exist between the amount of time the 14,344 participants, now adults, had spent in juvenile detention and future health problems.</w:t>
      </w:r>
      <w:r w:rsidR="00DE2B21" w:rsidRPr="00315C95">
        <w:rPr>
          <w:rFonts w:ascii="Times New Roman" w:hAnsi="Times New Roman"/>
        </w:rPr>
        <w:t xml:space="preserve"> </w:t>
      </w:r>
      <w:r w:rsidR="00B6688E" w:rsidRPr="00315C95">
        <w:rPr>
          <w:rFonts w:ascii="Times New Roman" w:hAnsi="Times New Roman"/>
          <w:szCs w:val="24"/>
        </w:rPr>
        <w:t>“After adjusting for baseline health and socio-demographic factors, participants who were incarcerated less than a month were more likely to experience symptoms of depression as adults, and those incarcerated for 1 to 12 months had worse adult general health.</w:t>
      </w:r>
      <w:r w:rsidR="00B75A34" w:rsidRPr="00315C95">
        <w:rPr>
          <w:rFonts w:ascii="Times New Roman" w:hAnsi="Times New Roman"/>
          <w:szCs w:val="24"/>
        </w:rPr>
        <w:t>”</w:t>
      </w:r>
      <w:r w:rsidR="007E1D8D">
        <w:rPr>
          <w:rStyle w:val="FootnoteReference"/>
          <w:rFonts w:ascii="Times New Roman" w:hAnsi="Times New Roman"/>
          <w:szCs w:val="24"/>
        </w:rPr>
        <w:footnoteReference w:id="3"/>
      </w:r>
      <w:r w:rsidR="009D5DEB">
        <w:rPr>
          <w:szCs w:val="24"/>
        </w:rPr>
        <w:t xml:space="preserve"> </w:t>
      </w:r>
    </w:p>
    <w:p w14:paraId="343B2F31" w14:textId="3C214AB9" w:rsidR="009A0DEE" w:rsidRDefault="004A79E3" w:rsidP="004A79E3">
      <w:pPr>
        <w:pStyle w:val="Text"/>
        <w:spacing w:line="480" w:lineRule="auto"/>
        <w:ind w:right="360" w:firstLine="0"/>
        <w:contextualSpacing/>
        <w:rPr>
          <w:rFonts w:ascii="Times New Roman" w:hAnsi="Times New Roman"/>
          <w:bCs/>
          <w:i/>
          <w:iCs/>
          <w:szCs w:val="24"/>
          <w:u w:val="single"/>
        </w:rPr>
      </w:pPr>
      <w:r w:rsidRPr="004A79E3">
        <w:rPr>
          <w:rFonts w:ascii="Times New Roman" w:hAnsi="Times New Roman"/>
          <w:bCs/>
          <w:i/>
          <w:iCs/>
          <w:szCs w:val="24"/>
          <w:u w:val="single"/>
        </w:rPr>
        <w:lastRenderedPageBreak/>
        <w:t xml:space="preserve">Release conditions </w:t>
      </w:r>
      <w:r>
        <w:rPr>
          <w:rFonts w:ascii="Times New Roman" w:hAnsi="Times New Roman"/>
          <w:bCs/>
          <w:i/>
          <w:iCs/>
          <w:szCs w:val="24"/>
          <w:u w:val="single"/>
        </w:rPr>
        <w:t>should allow for normal healthy adolescent play</w:t>
      </w:r>
    </w:p>
    <w:p w14:paraId="16AE6943" w14:textId="3ACF5870" w:rsidR="006E4740" w:rsidRDefault="00325A6C" w:rsidP="004A79E3">
      <w:pPr>
        <w:pStyle w:val="Text"/>
        <w:spacing w:line="480" w:lineRule="auto"/>
        <w:ind w:right="360" w:firstLine="0"/>
        <w:contextualSpacing/>
        <w:rPr>
          <w:rFonts w:ascii="Times New Roman" w:hAnsi="Times New Roman"/>
          <w:bCs/>
          <w:szCs w:val="24"/>
        </w:rPr>
      </w:pPr>
      <w:r>
        <w:rPr>
          <w:rFonts w:ascii="Times New Roman" w:hAnsi="Times New Roman"/>
          <w:bCs/>
          <w:szCs w:val="24"/>
        </w:rPr>
        <w:tab/>
        <w:t xml:space="preserve">When </w:t>
      </w:r>
      <w:r w:rsidR="00AF66A1">
        <w:rPr>
          <w:rFonts w:ascii="Times New Roman" w:hAnsi="Times New Roman"/>
          <w:bCs/>
          <w:szCs w:val="24"/>
        </w:rPr>
        <w:t>______</w:t>
      </w:r>
      <w:r>
        <w:rPr>
          <w:rFonts w:ascii="Times New Roman" w:hAnsi="Times New Roman"/>
          <w:bCs/>
          <w:szCs w:val="24"/>
        </w:rPr>
        <w:t xml:space="preserve"> was previously released, he was </w:t>
      </w:r>
      <w:r w:rsidR="007234CD">
        <w:rPr>
          <w:rFonts w:ascii="Times New Roman" w:hAnsi="Times New Roman"/>
          <w:bCs/>
          <w:szCs w:val="24"/>
        </w:rPr>
        <w:t xml:space="preserve">under strict supervision that limited his ability to perform normal, healthy adolescent behaviors. For example, </w:t>
      </w:r>
      <w:r w:rsidR="0089296A">
        <w:rPr>
          <w:rFonts w:ascii="Times New Roman" w:hAnsi="Times New Roman"/>
          <w:bCs/>
          <w:szCs w:val="24"/>
        </w:rPr>
        <w:t>he was ordered</w:t>
      </w:r>
      <w:r w:rsidR="00AB51A3">
        <w:rPr>
          <w:rFonts w:ascii="Times New Roman" w:hAnsi="Times New Roman"/>
          <w:bCs/>
          <w:szCs w:val="24"/>
        </w:rPr>
        <w:t xml:space="preserve"> to not have any access to social media, and told by the Electronic Monitoring program that even playing basketball in his driveway could be considered a violation if it wasn’t pre-approved, each time, by his juvenile court counselor.</w:t>
      </w:r>
      <w:r w:rsidR="00ED5142">
        <w:rPr>
          <w:rFonts w:ascii="Times New Roman" w:hAnsi="Times New Roman"/>
          <w:bCs/>
          <w:szCs w:val="24"/>
        </w:rPr>
        <w:t xml:space="preserve"> </w:t>
      </w:r>
      <w:r w:rsidR="00AB51A3">
        <w:rPr>
          <w:rFonts w:ascii="Times New Roman" w:hAnsi="Times New Roman"/>
          <w:bCs/>
          <w:szCs w:val="24"/>
        </w:rPr>
        <w:t xml:space="preserve">If </w:t>
      </w:r>
      <w:r w:rsidR="00AF66A1">
        <w:rPr>
          <w:rFonts w:ascii="Times New Roman" w:hAnsi="Times New Roman"/>
          <w:bCs/>
          <w:szCs w:val="24"/>
        </w:rPr>
        <w:t>______</w:t>
      </w:r>
      <w:r w:rsidR="00AB51A3">
        <w:rPr>
          <w:rFonts w:ascii="Times New Roman" w:hAnsi="Times New Roman"/>
          <w:bCs/>
          <w:szCs w:val="24"/>
        </w:rPr>
        <w:t xml:space="preserve"> is released today, he should </w:t>
      </w:r>
      <w:r w:rsidR="006E71AA">
        <w:rPr>
          <w:rFonts w:ascii="Times New Roman" w:hAnsi="Times New Roman"/>
          <w:bCs/>
          <w:szCs w:val="24"/>
        </w:rPr>
        <w:t xml:space="preserve">be allowed access to </w:t>
      </w:r>
      <w:r w:rsidR="007C04AA">
        <w:rPr>
          <w:rFonts w:ascii="Times New Roman" w:hAnsi="Times New Roman"/>
          <w:bCs/>
          <w:szCs w:val="24"/>
        </w:rPr>
        <w:t xml:space="preserve">social media and the Electronic Monitoring program should be advised </w:t>
      </w:r>
      <w:proofErr w:type="gramStart"/>
      <w:r w:rsidR="007C04AA">
        <w:rPr>
          <w:rFonts w:ascii="Times New Roman" w:hAnsi="Times New Roman"/>
          <w:bCs/>
          <w:szCs w:val="24"/>
        </w:rPr>
        <w:t>to not</w:t>
      </w:r>
      <w:proofErr w:type="gramEnd"/>
      <w:r w:rsidR="007C04AA">
        <w:rPr>
          <w:rFonts w:ascii="Times New Roman" w:hAnsi="Times New Roman"/>
          <w:bCs/>
          <w:szCs w:val="24"/>
        </w:rPr>
        <w:t xml:space="preserve"> consider any movement within </w:t>
      </w:r>
      <w:r w:rsidR="00ED5142">
        <w:rPr>
          <w:rFonts w:ascii="Times New Roman" w:hAnsi="Times New Roman"/>
          <w:bCs/>
          <w:szCs w:val="24"/>
        </w:rPr>
        <w:t xml:space="preserve">his driveway to be a violation. </w:t>
      </w:r>
    </w:p>
    <w:p w14:paraId="423112A0" w14:textId="0EE21D7E" w:rsidR="00F91AFC" w:rsidRDefault="006E4740" w:rsidP="00BF4ED5">
      <w:pPr>
        <w:pStyle w:val="Text"/>
        <w:spacing w:line="480" w:lineRule="auto"/>
        <w:ind w:right="360"/>
        <w:contextualSpacing/>
        <w:rPr>
          <w:rFonts w:ascii="Times New Roman" w:hAnsi="Times New Roman"/>
          <w:bCs/>
          <w:szCs w:val="24"/>
        </w:rPr>
      </w:pPr>
      <w:r>
        <w:rPr>
          <w:rFonts w:ascii="Times New Roman" w:hAnsi="Times New Roman"/>
          <w:bCs/>
          <w:szCs w:val="24"/>
        </w:rPr>
        <w:t>While the harms of social media are well documented, there is emerging evidence that suggests that it can a</w:t>
      </w:r>
      <w:r w:rsidR="007F65E8">
        <w:rPr>
          <w:rFonts w:ascii="Times New Roman" w:hAnsi="Times New Roman"/>
          <w:bCs/>
          <w:szCs w:val="24"/>
        </w:rPr>
        <w:t>lso reduce stress, have value for social connectivity,</w:t>
      </w:r>
      <w:r w:rsidR="00D30BCD">
        <w:rPr>
          <w:rFonts w:ascii="Times New Roman" w:hAnsi="Times New Roman"/>
          <w:bCs/>
          <w:szCs w:val="24"/>
        </w:rPr>
        <w:t xml:space="preserve"> be an</w:t>
      </w:r>
      <w:r w:rsidR="007F65E8">
        <w:rPr>
          <w:rFonts w:ascii="Times New Roman" w:hAnsi="Times New Roman"/>
          <w:bCs/>
          <w:szCs w:val="24"/>
        </w:rPr>
        <w:t xml:space="preserve"> important source of information about mental health, and provid</w:t>
      </w:r>
      <w:r w:rsidR="00D30BCD">
        <w:rPr>
          <w:rFonts w:ascii="Times New Roman" w:hAnsi="Times New Roman"/>
          <w:bCs/>
          <w:szCs w:val="24"/>
        </w:rPr>
        <w:t>e</w:t>
      </w:r>
      <w:r w:rsidR="007F65E8">
        <w:rPr>
          <w:rFonts w:ascii="Times New Roman" w:hAnsi="Times New Roman"/>
          <w:bCs/>
          <w:szCs w:val="24"/>
        </w:rPr>
        <w:t xml:space="preserve"> a platform for peer-to-peer support.</w:t>
      </w:r>
      <w:r w:rsidR="00940FAA">
        <w:rPr>
          <w:rStyle w:val="FootnoteReference"/>
          <w:rFonts w:ascii="Times New Roman" w:hAnsi="Times New Roman"/>
          <w:bCs/>
          <w:szCs w:val="24"/>
        </w:rPr>
        <w:footnoteReference w:id="4"/>
      </w:r>
      <w:r w:rsidR="00BF4ED5">
        <w:rPr>
          <w:rFonts w:ascii="Times New Roman" w:hAnsi="Times New Roman"/>
          <w:bCs/>
          <w:szCs w:val="24"/>
        </w:rPr>
        <w:t xml:space="preserve"> </w:t>
      </w:r>
      <w:r w:rsidR="001F4730">
        <w:rPr>
          <w:rFonts w:ascii="Times New Roman" w:hAnsi="Times New Roman"/>
          <w:bCs/>
          <w:szCs w:val="24"/>
        </w:rPr>
        <w:t>Social media has become an indispensable part of adolescent life, with one study suggesting that upwards of 94% of teens us</w:t>
      </w:r>
      <w:r w:rsidR="00030574">
        <w:rPr>
          <w:rFonts w:ascii="Times New Roman" w:hAnsi="Times New Roman"/>
          <w:bCs/>
          <w:szCs w:val="24"/>
        </w:rPr>
        <w:t>e</w:t>
      </w:r>
      <w:r w:rsidR="001F4730">
        <w:rPr>
          <w:rFonts w:ascii="Times New Roman" w:hAnsi="Times New Roman"/>
          <w:bCs/>
          <w:szCs w:val="24"/>
        </w:rPr>
        <w:t xml:space="preserve"> i</w:t>
      </w:r>
      <w:r w:rsidR="00E66DC5">
        <w:rPr>
          <w:rFonts w:ascii="Times New Roman" w:hAnsi="Times New Roman"/>
          <w:bCs/>
          <w:szCs w:val="24"/>
        </w:rPr>
        <w:t>t.</w:t>
      </w:r>
      <w:r w:rsidR="00E66DC5">
        <w:rPr>
          <w:rStyle w:val="FootnoteReference"/>
          <w:rFonts w:ascii="Times New Roman" w:hAnsi="Times New Roman"/>
          <w:bCs/>
          <w:szCs w:val="24"/>
        </w:rPr>
        <w:footnoteReference w:id="5"/>
      </w:r>
      <w:r w:rsidR="007C6FED">
        <w:rPr>
          <w:rFonts w:ascii="Times New Roman" w:hAnsi="Times New Roman"/>
          <w:bCs/>
          <w:szCs w:val="24"/>
        </w:rPr>
        <w:t xml:space="preserve"> Restricting its use has the effect of further isolating a young person like </w:t>
      </w:r>
      <w:r w:rsidR="00AF66A1">
        <w:rPr>
          <w:rFonts w:ascii="Times New Roman" w:hAnsi="Times New Roman"/>
          <w:bCs/>
          <w:szCs w:val="24"/>
        </w:rPr>
        <w:t>______</w:t>
      </w:r>
      <w:r w:rsidR="007C6FED">
        <w:rPr>
          <w:rFonts w:ascii="Times New Roman" w:hAnsi="Times New Roman"/>
          <w:bCs/>
          <w:szCs w:val="24"/>
        </w:rPr>
        <w:t xml:space="preserve"> and compounding the </w:t>
      </w:r>
      <w:r w:rsidR="00944B7D">
        <w:rPr>
          <w:rFonts w:ascii="Times New Roman" w:hAnsi="Times New Roman"/>
          <w:bCs/>
          <w:szCs w:val="24"/>
        </w:rPr>
        <w:t xml:space="preserve">harmful aspects of electronic monitoring and 24/7 supervision, without adding any additional benefit. </w:t>
      </w:r>
      <w:r w:rsidR="00AF66A1">
        <w:rPr>
          <w:rFonts w:ascii="Times New Roman" w:hAnsi="Times New Roman"/>
          <w:bCs/>
          <w:szCs w:val="24"/>
        </w:rPr>
        <w:t>______</w:t>
      </w:r>
      <w:r w:rsidR="00DB6D3F">
        <w:rPr>
          <w:rFonts w:ascii="Times New Roman" w:hAnsi="Times New Roman"/>
          <w:bCs/>
          <w:szCs w:val="24"/>
        </w:rPr>
        <w:t xml:space="preserve"> is already restricted from contact with his co-defendants, so </w:t>
      </w:r>
      <w:r w:rsidR="00DB1C6B">
        <w:rPr>
          <w:rFonts w:ascii="Times New Roman" w:hAnsi="Times New Roman"/>
          <w:bCs/>
          <w:szCs w:val="24"/>
        </w:rPr>
        <w:t xml:space="preserve">blocking all social media use to achieve that goal is overly broad. </w:t>
      </w:r>
      <w:r w:rsidR="00DB1367">
        <w:rPr>
          <w:rFonts w:ascii="Times New Roman" w:hAnsi="Times New Roman"/>
          <w:bCs/>
          <w:szCs w:val="24"/>
        </w:rPr>
        <w:t xml:space="preserve">A more appropriate order would be </w:t>
      </w:r>
      <w:r w:rsidR="00EA2DC0">
        <w:rPr>
          <w:rFonts w:ascii="Times New Roman" w:hAnsi="Times New Roman"/>
          <w:bCs/>
          <w:szCs w:val="24"/>
        </w:rPr>
        <w:t>“do not</w:t>
      </w:r>
      <w:r w:rsidR="00DB1367">
        <w:rPr>
          <w:rFonts w:ascii="Times New Roman" w:hAnsi="Times New Roman"/>
          <w:bCs/>
          <w:szCs w:val="24"/>
        </w:rPr>
        <w:t xml:space="preserve"> intentionally view, share or possess any material on social media that is violent, centered around drug use </w:t>
      </w:r>
      <w:r w:rsidR="00F91AFC">
        <w:rPr>
          <w:rFonts w:ascii="Times New Roman" w:hAnsi="Times New Roman"/>
          <w:bCs/>
          <w:szCs w:val="24"/>
        </w:rPr>
        <w:t>or any illegal activity.</w:t>
      </w:r>
      <w:r w:rsidR="00EA2DC0">
        <w:rPr>
          <w:rFonts w:ascii="Times New Roman" w:hAnsi="Times New Roman"/>
          <w:bCs/>
          <w:szCs w:val="24"/>
        </w:rPr>
        <w:t xml:space="preserve">” </w:t>
      </w:r>
    </w:p>
    <w:p w14:paraId="78E48166" w14:textId="176DB68F" w:rsidR="00EA2DC0" w:rsidRDefault="00EA2DC0" w:rsidP="00BF4ED5">
      <w:pPr>
        <w:pStyle w:val="Text"/>
        <w:spacing w:line="480" w:lineRule="auto"/>
        <w:ind w:right="360"/>
        <w:contextualSpacing/>
        <w:rPr>
          <w:rFonts w:ascii="Times New Roman" w:hAnsi="Times New Roman"/>
          <w:bCs/>
          <w:szCs w:val="24"/>
        </w:rPr>
      </w:pPr>
      <w:proofErr w:type="gramStart"/>
      <w:r>
        <w:rPr>
          <w:rFonts w:ascii="Times New Roman" w:hAnsi="Times New Roman"/>
          <w:bCs/>
          <w:szCs w:val="24"/>
        </w:rPr>
        <w:lastRenderedPageBreak/>
        <w:t xml:space="preserve">Furthermore, </w:t>
      </w:r>
      <w:r w:rsidR="00AF66A1">
        <w:rPr>
          <w:rFonts w:ascii="Times New Roman" w:hAnsi="Times New Roman"/>
          <w:bCs/>
          <w:szCs w:val="24"/>
        </w:rPr>
        <w:t>_</w:t>
      </w:r>
      <w:proofErr w:type="gramEnd"/>
      <w:r w:rsidR="00AF66A1">
        <w:rPr>
          <w:rFonts w:ascii="Times New Roman" w:hAnsi="Times New Roman"/>
          <w:bCs/>
          <w:szCs w:val="24"/>
        </w:rPr>
        <w:t>_____</w:t>
      </w:r>
      <w:r>
        <w:rPr>
          <w:rFonts w:ascii="Times New Roman" w:hAnsi="Times New Roman"/>
          <w:bCs/>
          <w:szCs w:val="24"/>
        </w:rPr>
        <w:t xml:space="preserve"> should be </w:t>
      </w:r>
      <w:r w:rsidR="00EA4141">
        <w:rPr>
          <w:rFonts w:ascii="Times New Roman" w:hAnsi="Times New Roman"/>
          <w:bCs/>
          <w:szCs w:val="24"/>
        </w:rPr>
        <w:t>motivated</w:t>
      </w:r>
      <w:r>
        <w:rPr>
          <w:rFonts w:ascii="Times New Roman" w:hAnsi="Times New Roman"/>
          <w:bCs/>
          <w:szCs w:val="24"/>
        </w:rPr>
        <w:t>, rather than discouraged</w:t>
      </w:r>
      <w:r w:rsidR="00EA4141">
        <w:rPr>
          <w:rFonts w:ascii="Times New Roman" w:hAnsi="Times New Roman"/>
          <w:bCs/>
          <w:szCs w:val="24"/>
        </w:rPr>
        <w:t xml:space="preserve">, to seek out appropriate forms of leisure and play. Most </w:t>
      </w:r>
      <w:r w:rsidR="00E03735">
        <w:rPr>
          <w:rFonts w:ascii="Times New Roman" w:hAnsi="Times New Roman"/>
          <w:bCs/>
          <w:szCs w:val="24"/>
        </w:rPr>
        <w:t>immediately</w:t>
      </w:r>
      <w:r w:rsidR="00EA4141">
        <w:rPr>
          <w:rFonts w:ascii="Times New Roman" w:hAnsi="Times New Roman"/>
          <w:bCs/>
          <w:szCs w:val="24"/>
        </w:rPr>
        <w:t xml:space="preserve">, </w:t>
      </w:r>
      <w:r w:rsidR="00A274E4">
        <w:rPr>
          <w:rFonts w:ascii="Times New Roman" w:hAnsi="Times New Roman"/>
          <w:bCs/>
          <w:szCs w:val="24"/>
        </w:rPr>
        <w:t xml:space="preserve">his electronic monitoring order should allow him to play basketball in his driveway without it requiring </w:t>
      </w:r>
      <w:r w:rsidR="00322C52">
        <w:rPr>
          <w:rFonts w:ascii="Times New Roman" w:hAnsi="Times New Roman"/>
          <w:bCs/>
          <w:szCs w:val="24"/>
        </w:rPr>
        <w:t xml:space="preserve">pre-approval each time by his Juvenile Court Counselor. </w:t>
      </w:r>
      <w:r w:rsidR="00425309">
        <w:rPr>
          <w:rFonts w:ascii="Times New Roman" w:hAnsi="Times New Roman"/>
          <w:bCs/>
          <w:szCs w:val="24"/>
        </w:rPr>
        <w:t xml:space="preserve">However, </w:t>
      </w:r>
      <w:r w:rsidR="00F73D60">
        <w:rPr>
          <w:rFonts w:ascii="Times New Roman" w:hAnsi="Times New Roman"/>
          <w:bCs/>
          <w:szCs w:val="24"/>
        </w:rPr>
        <w:t xml:space="preserve">the Court should encourage the Juvenile Department to work with </w:t>
      </w:r>
      <w:r w:rsidR="00AF66A1">
        <w:rPr>
          <w:rFonts w:ascii="Times New Roman" w:hAnsi="Times New Roman"/>
          <w:bCs/>
          <w:szCs w:val="24"/>
        </w:rPr>
        <w:t>______</w:t>
      </w:r>
      <w:r w:rsidR="00F73D60">
        <w:rPr>
          <w:rFonts w:ascii="Times New Roman" w:hAnsi="Times New Roman"/>
          <w:bCs/>
          <w:szCs w:val="24"/>
        </w:rPr>
        <w:t xml:space="preserve"> to find other ways of engaging in recreation that gets him out of the house. </w:t>
      </w:r>
    </w:p>
    <w:p w14:paraId="7B276FA4" w14:textId="37359B66" w:rsidR="0008784A" w:rsidRDefault="00630977" w:rsidP="00867599">
      <w:pPr>
        <w:pStyle w:val="Text"/>
        <w:spacing w:line="480" w:lineRule="auto"/>
        <w:ind w:right="360"/>
        <w:contextualSpacing/>
        <w:rPr>
          <w:rFonts w:ascii="Times New Roman" w:hAnsi="Times New Roman"/>
          <w:bCs/>
          <w:szCs w:val="24"/>
        </w:rPr>
      </w:pPr>
      <w:r>
        <w:rPr>
          <w:rFonts w:ascii="Times New Roman" w:hAnsi="Times New Roman"/>
          <w:bCs/>
          <w:szCs w:val="24"/>
        </w:rPr>
        <w:t xml:space="preserve">There is a growing body of research surrounding the importance of “play” in adolescent development. </w:t>
      </w:r>
      <w:r w:rsidR="00141C7D">
        <w:rPr>
          <w:rFonts w:ascii="Times New Roman" w:hAnsi="Times New Roman"/>
          <w:bCs/>
          <w:szCs w:val="24"/>
        </w:rPr>
        <w:t xml:space="preserve">Specifically, the literature demonstrates that </w:t>
      </w:r>
      <w:r w:rsidR="00164C21">
        <w:rPr>
          <w:rFonts w:ascii="Times New Roman" w:hAnsi="Times New Roman"/>
          <w:bCs/>
          <w:szCs w:val="24"/>
        </w:rPr>
        <w:t>unstructured play, such as playing pickup basketball, is beneficial. D</w:t>
      </w:r>
      <w:r w:rsidR="009B52AB" w:rsidRPr="009B52AB">
        <w:rPr>
          <w:rFonts w:ascii="Times New Roman" w:hAnsi="Times New Roman"/>
          <w:bCs/>
          <w:szCs w:val="24"/>
        </w:rPr>
        <w:t>eveloping behavioral and emotional autonomy is an important task. This is linked to developing initiative, intrinsic motivation, and goal setting skills, which are important throughout life.</w:t>
      </w:r>
      <w:r w:rsidR="0037474A">
        <w:rPr>
          <w:rStyle w:val="FootnoteReference"/>
          <w:rFonts w:ascii="Times New Roman" w:hAnsi="Times New Roman"/>
          <w:bCs/>
          <w:szCs w:val="24"/>
        </w:rPr>
        <w:footnoteReference w:id="6"/>
      </w:r>
      <w:r w:rsidR="009B52AB" w:rsidRPr="009B52AB">
        <w:rPr>
          <w:rFonts w:ascii="Times New Roman" w:hAnsi="Times New Roman"/>
          <w:bCs/>
          <w:szCs w:val="24"/>
        </w:rPr>
        <w:t xml:space="preserve"> Conversely, </w:t>
      </w:r>
      <w:r w:rsidR="00624390">
        <w:rPr>
          <w:rFonts w:ascii="Times New Roman" w:hAnsi="Times New Roman"/>
          <w:bCs/>
          <w:szCs w:val="24"/>
        </w:rPr>
        <w:t>“</w:t>
      </w:r>
      <w:r w:rsidR="009B52AB" w:rsidRPr="009B52AB">
        <w:rPr>
          <w:rFonts w:ascii="Times New Roman" w:hAnsi="Times New Roman"/>
          <w:bCs/>
          <w:szCs w:val="24"/>
        </w:rPr>
        <w:t>participation driven solely by external factors is unlikely to help adolescents reap important developmental and health benefits as much as internally motivated action, which are likely to be sustained over time</w:t>
      </w:r>
      <w:r w:rsidR="0008784A" w:rsidRPr="0008784A">
        <w:rPr>
          <w:rFonts w:ascii="Times New Roman" w:hAnsi="Times New Roman"/>
          <w:bCs/>
          <w:szCs w:val="24"/>
        </w:rPr>
        <w:t>.</w:t>
      </w:r>
      <w:r w:rsidR="0008784A">
        <w:rPr>
          <w:rFonts w:ascii="Times New Roman" w:hAnsi="Times New Roman"/>
          <w:bCs/>
          <w:szCs w:val="24"/>
        </w:rPr>
        <w:t>”</w:t>
      </w:r>
      <w:r w:rsidR="00AE0028">
        <w:rPr>
          <w:rStyle w:val="FootnoteReference"/>
          <w:rFonts w:ascii="Times New Roman" w:hAnsi="Times New Roman"/>
          <w:bCs/>
          <w:szCs w:val="24"/>
        </w:rPr>
        <w:footnoteReference w:id="7"/>
      </w:r>
      <w:r w:rsidR="00122D55">
        <w:rPr>
          <w:rFonts w:ascii="Times New Roman" w:hAnsi="Times New Roman"/>
          <w:bCs/>
          <w:szCs w:val="24"/>
        </w:rPr>
        <w:t xml:space="preserve"> While it’s certainly beneficial that </w:t>
      </w:r>
      <w:r w:rsidR="00AF66A1">
        <w:rPr>
          <w:rFonts w:ascii="Times New Roman" w:hAnsi="Times New Roman"/>
          <w:bCs/>
          <w:szCs w:val="24"/>
        </w:rPr>
        <w:t>______</w:t>
      </w:r>
      <w:r w:rsidR="00122D55">
        <w:rPr>
          <w:rFonts w:ascii="Times New Roman" w:hAnsi="Times New Roman"/>
          <w:bCs/>
          <w:szCs w:val="24"/>
        </w:rPr>
        <w:t xml:space="preserve"> has been participating on the football team, he also needs the ability to </w:t>
      </w:r>
      <w:r w:rsidR="005E7C98">
        <w:rPr>
          <w:rFonts w:ascii="Times New Roman" w:hAnsi="Times New Roman"/>
          <w:bCs/>
          <w:szCs w:val="24"/>
        </w:rPr>
        <w:t xml:space="preserve">have unstructured activity as well. </w:t>
      </w:r>
    </w:p>
    <w:p w14:paraId="5D78B400" w14:textId="30DFA80C" w:rsidR="00940FAA" w:rsidRPr="004A79E3" w:rsidRDefault="004A6BC3" w:rsidP="00E71A84">
      <w:pPr>
        <w:pStyle w:val="Text"/>
        <w:spacing w:line="480" w:lineRule="auto"/>
        <w:ind w:right="360"/>
        <w:contextualSpacing/>
        <w:rPr>
          <w:rFonts w:ascii="Times New Roman" w:hAnsi="Times New Roman"/>
          <w:bCs/>
          <w:szCs w:val="24"/>
        </w:rPr>
      </w:pPr>
      <w:r>
        <w:rPr>
          <w:rFonts w:ascii="Times New Roman" w:hAnsi="Times New Roman"/>
          <w:bCs/>
          <w:szCs w:val="24"/>
        </w:rPr>
        <w:t xml:space="preserve">This is especially important because otherwise, </w:t>
      </w:r>
      <w:r w:rsidR="00AF66A1">
        <w:rPr>
          <w:rFonts w:ascii="Times New Roman" w:hAnsi="Times New Roman"/>
          <w:bCs/>
          <w:szCs w:val="24"/>
        </w:rPr>
        <w:t>______</w:t>
      </w:r>
      <w:r>
        <w:rPr>
          <w:rFonts w:ascii="Times New Roman" w:hAnsi="Times New Roman"/>
          <w:bCs/>
          <w:szCs w:val="24"/>
        </w:rPr>
        <w:t xml:space="preserve"> will be </w:t>
      </w:r>
      <w:r w:rsidR="00724383">
        <w:rPr>
          <w:rFonts w:ascii="Times New Roman" w:hAnsi="Times New Roman"/>
          <w:bCs/>
          <w:szCs w:val="24"/>
        </w:rPr>
        <w:t xml:space="preserve">asked to spend hours on end in the house with no positive outlet, a daunting and prospect for anyone but especially a teenager. </w:t>
      </w:r>
      <w:r w:rsidR="005E7C98" w:rsidRPr="005870A5">
        <w:rPr>
          <w:rFonts w:ascii="Times New Roman" w:hAnsi="Times New Roman"/>
          <w:bCs/>
          <w:szCs w:val="24"/>
        </w:rPr>
        <w:t>Boredom and stress may also be linked to problem behaviors (like alcohol and drug use, higher rates of dropping out of school, and vandalism)</w:t>
      </w:r>
      <w:r w:rsidR="00153A7B">
        <w:rPr>
          <w:rStyle w:val="FootnoteReference"/>
          <w:rFonts w:ascii="Times New Roman" w:hAnsi="Times New Roman"/>
          <w:bCs/>
          <w:szCs w:val="24"/>
        </w:rPr>
        <w:footnoteReference w:id="8"/>
      </w:r>
      <w:r w:rsidR="005E7C98" w:rsidRPr="005870A5">
        <w:rPr>
          <w:rFonts w:ascii="Times New Roman" w:hAnsi="Times New Roman"/>
          <w:bCs/>
          <w:szCs w:val="24"/>
        </w:rPr>
        <w:t>. Positive leisure experiences can release stress and help youth overcome boredom</w:t>
      </w:r>
      <w:r w:rsidR="005E7C98">
        <w:rPr>
          <w:rFonts w:ascii="Times New Roman" w:hAnsi="Times New Roman"/>
          <w:bCs/>
          <w:szCs w:val="24"/>
        </w:rPr>
        <w:t>.</w:t>
      </w:r>
      <w:r w:rsidR="00681BBD">
        <w:rPr>
          <w:rFonts w:ascii="Times New Roman" w:hAnsi="Times New Roman"/>
          <w:bCs/>
          <w:szCs w:val="24"/>
        </w:rPr>
        <w:t xml:space="preserve"> </w:t>
      </w:r>
      <w:r w:rsidR="00E03735">
        <w:rPr>
          <w:rFonts w:ascii="Times New Roman" w:hAnsi="Times New Roman"/>
          <w:bCs/>
          <w:szCs w:val="24"/>
        </w:rPr>
        <w:t xml:space="preserve">A modification of the release conditions will allow </w:t>
      </w:r>
      <w:r w:rsidR="00F464EC">
        <w:rPr>
          <w:rFonts w:ascii="Times New Roman" w:hAnsi="Times New Roman"/>
          <w:bCs/>
          <w:szCs w:val="24"/>
        </w:rPr>
        <w:t xml:space="preserve">him to </w:t>
      </w:r>
      <w:r w:rsidR="005A023F">
        <w:rPr>
          <w:rFonts w:ascii="Times New Roman" w:hAnsi="Times New Roman"/>
          <w:bCs/>
          <w:szCs w:val="24"/>
        </w:rPr>
        <w:t xml:space="preserve">maintain compliance with the </w:t>
      </w:r>
      <w:r w:rsidR="002D34E9">
        <w:rPr>
          <w:rFonts w:ascii="Times New Roman" w:hAnsi="Times New Roman"/>
          <w:bCs/>
          <w:szCs w:val="24"/>
        </w:rPr>
        <w:t xml:space="preserve">requirements that are most important: safety and attendance at all court hearings. </w:t>
      </w:r>
    </w:p>
    <w:p w14:paraId="5D8E4B88" w14:textId="77777777" w:rsidR="001B53BE" w:rsidRPr="000B0719" w:rsidRDefault="001B53BE" w:rsidP="000B0719">
      <w:pPr>
        <w:pStyle w:val="Text"/>
        <w:spacing w:line="480" w:lineRule="auto"/>
        <w:ind w:right="360" w:firstLine="0"/>
        <w:contextualSpacing/>
        <w:jc w:val="center"/>
        <w:rPr>
          <w:rFonts w:ascii="Times New Roman" w:hAnsi="Times New Roman"/>
          <w:b/>
        </w:rPr>
      </w:pPr>
      <w:r w:rsidRPr="000B0719">
        <w:rPr>
          <w:rFonts w:ascii="Times New Roman" w:hAnsi="Times New Roman"/>
          <w:b/>
        </w:rPr>
        <w:lastRenderedPageBreak/>
        <w:t>CONCLUSION</w:t>
      </w:r>
    </w:p>
    <w:p w14:paraId="36F48D5A" w14:textId="731DC727" w:rsidR="00F82051" w:rsidRDefault="00AF66A1" w:rsidP="00241EDF">
      <w:pPr>
        <w:pStyle w:val="Text"/>
        <w:spacing w:line="480" w:lineRule="auto"/>
        <w:ind w:right="360"/>
        <w:contextualSpacing/>
        <w:rPr>
          <w:rFonts w:ascii="Times New Roman" w:hAnsi="Times New Roman"/>
        </w:rPr>
      </w:pPr>
      <w:r>
        <w:rPr>
          <w:rFonts w:ascii="Times New Roman" w:hAnsi="Times New Roman"/>
        </w:rPr>
        <w:t>______</w:t>
      </w:r>
      <w:r w:rsidR="00E71A84">
        <w:rPr>
          <w:rFonts w:ascii="Times New Roman" w:hAnsi="Times New Roman"/>
        </w:rPr>
        <w:t xml:space="preserve"> has demonstrated that when on electronic monitoring he can </w:t>
      </w:r>
      <w:r w:rsidR="00E93BC0">
        <w:rPr>
          <w:rFonts w:ascii="Times New Roman" w:hAnsi="Times New Roman"/>
        </w:rPr>
        <w:t>abide by the conditions and expectations set forth by the Court. Continuing his detention is unnecessary to ensure his safety, community safety and his appearance at future court hearings</w:t>
      </w:r>
      <w:r w:rsidR="00B74BB8">
        <w:rPr>
          <w:rFonts w:ascii="Times New Roman" w:hAnsi="Times New Roman"/>
        </w:rPr>
        <w:t xml:space="preserve">, but release conditions should be modified to allow him the ability to engage in appropriate and healthy </w:t>
      </w:r>
      <w:r w:rsidR="0060081B">
        <w:rPr>
          <w:rFonts w:ascii="Times New Roman" w:hAnsi="Times New Roman"/>
        </w:rPr>
        <w:t>play</w:t>
      </w:r>
      <w:r w:rsidR="00B74BB8">
        <w:rPr>
          <w:rFonts w:ascii="Times New Roman" w:hAnsi="Times New Roman"/>
        </w:rPr>
        <w:t xml:space="preserve"> </w:t>
      </w:r>
      <w:proofErr w:type="gramStart"/>
      <w:r w:rsidR="00B74BB8">
        <w:rPr>
          <w:rFonts w:ascii="Times New Roman" w:hAnsi="Times New Roman"/>
        </w:rPr>
        <w:t>in order to</w:t>
      </w:r>
      <w:proofErr w:type="gramEnd"/>
      <w:r w:rsidR="00B74BB8">
        <w:rPr>
          <w:rFonts w:ascii="Times New Roman" w:hAnsi="Times New Roman"/>
        </w:rPr>
        <w:t xml:space="preserve"> </w:t>
      </w:r>
      <w:r w:rsidR="00FE5644">
        <w:rPr>
          <w:rFonts w:ascii="Times New Roman" w:hAnsi="Times New Roman"/>
        </w:rPr>
        <w:t xml:space="preserve">make the plan sustainable </w:t>
      </w:r>
      <w:r w:rsidR="009B143B">
        <w:rPr>
          <w:rFonts w:ascii="Times New Roman" w:hAnsi="Times New Roman"/>
        </w:rPr>
        <w:t xml:space="preserve">and </w:t>
      </w:r>
      <w:r w:rsidR="00AA48AC">
        <w:rPr>
          <w:rFonts w:ascii="Times New Roman" w:hAnsi="Times New Roman"/>
        </w:rPr>
        <w:t xml:space="preserve">beneficial. </w:t>
      </w:r>
      <w:r w:rsidR="00FE5644">
        <w:rPr>
          <w:rFonts w:ascii="Times New Roman" w:hAnsi="Times New Roman"/>
        </w:rPr>
        <w:t xml:space="preserve"> </w:t>
      </w:r>
    </w:p>
    <w:p w14:paraId="7E643B32" w14:textId="6BC054E9" w:rsidR="00A7559C" w:rsidRDefault="002D34E9" w:rsidP="001D7AF1">
      <w:pPr>
        <w:pStyle w:val="Body"/>
        <w:spacing w:line="240" w:lineRule="auto"/>
      </w:pPr>
      <w:bookmarkStart w:id="5" w:name="StartOfDoc"/>
      <w:bookmarkEnd w:id="5"/>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2D34E9">
        <w:tab/>
        <w:t>_</w:t>
      </w:r>
      <w:r w:rsidR="001D7AF1" w:rsidRPr="001D7AF1">
        <w:rPr>
          <w:u w:val="single"/>
        </w:rPr>
        <w:t>s/s Keiler Beers</w:t>
      </w:r>
      <w:r w:rsidRPr="002D34E9">
        <w:t>___</w:t>
      </w:r>
    </w:p>
    <w:p w14:paraId="10AE8FA5" w14:textId="1327B282" w:rsidR="001D7AF1" w:rsidRDefault="001D7AF1" w:rsidP="001D7AF1">
      <w:pPr>
        <w:pStyle w:val="Body"/>
        <w:spacing w:line="240" w:lineRule="auto"/>
      </w:pPr>
      <w:r>
        <w:tab/>
      </w:r>
      <w:r>
        <w:tab/>
      </w:r>
      <w:r>
        <w:tab/>
      </w:r>
      <w:r>
        <w:tab/>
      </w:r>
      <w:r>
        <w:tab/>
      </w:r>
      <w:r>
        <w:tab/>
      </w:r>
      <w:r>
        <w:tab/>
      </w:r>
      <w:r w:rsidR="00B314FA">
        <w:tab/>
      </w:r>
      <w:r>
        <w:t xml:space="preserve">Attorney for </w:t>
      </w:r>
      <w:r w:rsidR="00AF66A1">
        <w:t>______</w:t>
      </w:r>
      <w:r>
        <w:t xml:space="preserve"> </w:t>
      </w:r>
      <w:r w:rsidR="00AF66A1">
        <w:t>______</w:t>
      </w:r>
    </w:p>
    <w:p w14:paraId="0291731F" w14:textId="07DE573D" w:rsidR="00B314FA" w:rsidRPr="0060081B" w:rsidRDefault="00B314FA" w:rsidP="001D7AF1">
      <w:pPr>
        <w:pStyle w:val="Body"/>
        <w:spacing w:line="240" w:lineRule="auto"/>
        <w:rPr>
          <w:color w:val="FF0000"/>
        </w:rPr>
      </w:pPr>
      <w:r>
        <w:tab/>
      </w:r>
      <w:r>
        <w:tab/>
      </w:r>
      <w:r>
        <w:tab/>
      </w:r>
      <w:r>
        <w:tab/>
      </w:r>
      <w:r>
        <w:tab/>
      </w:r>
      <w:r>
        <w:tab/>
      </w:r>
      <w:r>
        <w:tab/>
      </w:r>
      <w:r>
        <w:tab/>
        <w:t>OSB #203444</w:t>
      </w:r>
    </w:p>
    <w:sectPr w:rsidR="00B314FA" w:rsidRPr="0060081B" w:rsidSect="0024079B">
      <w:headerReference w:type="default" r:id="rId11"/>
      <w:footerReference w:type="default" r:id="rId12"/>
      <w:type w:val="continuous"/>
      <w:pgSz w:w="12240" w:h="15840"/>
      <w:pgMar w:top="-990" w:right="720" w:bottom="1800" w:left="18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22FF" w14:textId="77777777" w:rsidR="007D57EF" w:rsidRDefault="007D57EF">
      <w:pPr>
        <w:spacing w:line="240" w:lineRule="auto"/>
      </w:pPr>
      <w:r>
        <w:separator/>
      </w:r>
    </w:p>
  </w:endnote>
  <w:endnote w:type="continuationSeparator" w:id="0">
    <w:p w14:paraId="53304826" w14:textId="77777777" w:rsidR="007D57EF" w:rsidRDefault="007D5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TT5235d5a9">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462036"/>
      <w:docPartObj>
        <w:docPartGallery w:val="Page Numbers (Bottom of Page)"/>
        <w:docPartUnique/>
      </w:docPartObj>
    </w:sdtPr>
    <w:sdtEndPr>
      <w:rPr>
        <w:noProof/>
      </w:rPr>
    </w:sdtEndPr>
    <w:sdtContent>
      <w:p w14:paraId="0C81307A" w14:textId="1334D8BF" w:rsidR="00867599" w:rsidRDefault="00867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D8C54" w14:textId="77777777" w:rsidR="00AF66A1" w:rsidRDefault="00AF66A1">
    <w:pPr>
      <w:pStyle w:val="Footer"/>
      <w:tabs>
        <w:tab w:val="clear" w:pos="4320"/>
        <w:tab w:val="clear" w:pos="8640"/>
      </w:tabs>
      <w:spacing w:line="240" w:lineRule="auto"/>
      <w:rPr>
        <w:smallCap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45E2" w14:textId="77777777" w:rsidR="007D57EF" w:rsidRDefault="007D57EF">
      <w:pPr>
        <w:spacing w:line="240" w:lineRule="auto"/>
      </w:pPr>
      <w:r>
        <w:separator/>
      </w:r>
    </w:p>
  </w:footnote>
  <w:footnote w:type="continuationSeparator" w:id="0">
    <w:p w14:paraId="2D73485E" w14:textId="77777777" w:rsidR="007D57EF" w:rsidRDefault="007D57EF">
      <w:pPr>
        <w:spacing w:line="240" w:lineRule="auto"/>
      </w:pPr>
      <w:r>
        <w:continuationSeparator/>
      </w:r>
    </w:p>
  </w:footnote>
  <w:footnote w:id="1">
    <w:p w14:paraId="60B71E5C" w14:textId="1AE359E3" w:rsidR="00181696" w:rsidRPr="00616E8D" w:rsidRDefault="00181696">
      <w:pPr>
        <w:pStyle w:val="FootnoteText"/>
      </w:pPr>
      <w:r w:rsidRPr="00E5573E">
        <w:rPr>
          <w:rStyle w:val="FootnoteReference"/>
          <w:sz w:val="22"/>
          <w:szCs w:val="22"/>
        </w:rPr>
        <w:footnoteRef/>
      </w:r>
      <w:r w:rsidRPr="00E5573E">
        <w:rPr>
          <w:sz w:val="22"/>
          <w:szCs w:val="22"/>
        </w:rPr>
        <w:t xml:space="preserve"> </w:t>
      </w:r>
      <w:r w:rsidRPr="00616E8D">
        <w:rPr>
          <w:i/>
        </w:rPr>
        <w:t>See</w:t>
      </w:r>
      <w:r w:rsidRPr="00616E8D">
        <w:t xml:space="preserve"> Am. Bar </w:t>
      </w:r>
      <w:proofErr w:type="spellStart"/>
      <w:r w:rsidRPr="00616E8D">
        <w:t>Ass’n</w:t>
      </w:r>
      <w:proofErr w:type="spellEnd"/>
      <w:r w:rsidRPr="00616E8D">
        <w:t xml:space="preserve">, </w:t>
      </w:r>
      <w:r w:rsidRPr="00616E8D">
        <w:rPr>
          <w:i/>
        </w:rPr>
        <w:t>ABA Standards for Criminal Justice: Pretrial Release</w:t>
      </w:r>
      <w:r w:rsidRPr="00616E8D">
        <w:t>, at intro, 29 (3d ed. 2007) (discussing the evidence that pretrial detention has a significant effect on case outcomes with “released defendants consistently faring better than defendants in detention”).</w:t>
      </w:r>
    </w:p>
  </w:footnote>
  <w:footnote w:id="2">
    <w:p w14:paraId="32D4EC98" w14:textId="4ABFD2A5" w:rsidR="00181696" w:rsidRPr="00616E8D" w:rsidRDefault="00181696">
      <w:pPr>
        <w:pStyle w:val="FootnoteText"/>
      </w:pPr>
      <w:r w:rsidRPr="00616E8D">
        <w:rPr>
          <w:rStyle w:val="FootnoteReference"/>
        </w:rPr>
        <w:footnoteRef/>
      </w:r>
      <w:r w:rsidRPr="00616E8D">
        <w:t xml:space="preserve"> </w:t>
      </w:r>
      <w:r w:rsidRPr="00616E8D">
        <w:rPr>
          <w:i/>
        </w:rPr>
        <w:t>See</w:t>
      </w:r>
      <w:r w:rsidRPr="00616E8D">
        <w:t xml:space="preserve"> Am. Bar </w:t>
      </w:r>
      <w:proofErr w:type="spellStart"/>
      <w:r w:rsidRPr="00616E8D">
        <w:t>Ass’n</w:t>
      </w:r>
      <w:proofErr w:type="spellEnd"/>
      <w:r w:rsidRPr="00616E8D">
        <w:t xml:space="preserve">, </w:t>
      </w:r>
      <w:r w:rsidRPr="00616E8D">
        <w:rPr>
          <w:i/>
        </w:rPr>
        <w:t>Resolution on Juvenile Bail</w:t>
      </w:r>
      <w:r w:rsidRPr="00616E8D">
        <w:t xml:space="preserve">, 3 (2017) (citing </w:t>
      </w:r>
      <w:proofErr w:type="spellStart"/>
      <w:r w:rsidRPr="00616E8D">
        <w:t>Nat’l</w:t>
      </w:r>
      <w:proofErr w:type="spellEnd"/>
      <w:r w:rsidRPr="00616E8D">
        <w:t xml:space="preserve"> Juvenile Def. Ctr., </w:t>
      </w:r>
      <w:r w:rsidRPr="00616E8D">
        <w:rPr>
          <w:i/>
        </w:rPr>
        <w:t>Defend Children: A Blueprint for Effective Juvenile Defender Services</w:t>
      </w:r>
      <w:r w:rsidRPr="00616E8D">
        <w:t xml:space="preserve"> (2016) </w:t>
      </w:r>
    </w:p>
  </w:footnote>
  <w:footnote w:id="3">
    <w:p w14:paraId="6E5EBA07" w14:textId="529EF0E5" w:rsidR="007E1D8D" w:rsidRPr="00616E8D" w:rsidRDefault="007E1D8D">
      <w:pPr>
        <w:pStyle w:val="FootnoteText"/>
      </w:pPr>
      <w:r w:rsidRPr="00616E8D">
        <w:rPr>
          <w:rStyle w:val="FootnoteReference"/>
        </w:rPr>
        <w:footnoteRef/>
      </w:r>
      <w:r w:rsidRPr="00616E8D">
        <w:t xml:space="preserve"> </w:t>
      </w:r>
      <w:r w:rsidRPr="00616E8D">
        <w:t>Elizabeth S. Barnert</w:t>
      </w:r>
      <w:r w:rsidRPr="00616E8D">
        <w:t xml:space="preserve"> et al</w:t>
      </w:r>
      <w:r w:rsidRPr="00616E8D">
        <w:t xml:space="preserve">; </w:t>
      </w:r>
      <w:r w:rsidRPr="00616E8D">
        <w:rPr>
          <w:i/>
          <w:iCs/>
        </w:rPr>
        <w:t>How Does Incarcerating Young People Affect Their Adult Health Outcomes</w:t>
      </w:r>
      <w:r w:rsidRPr="00616E8D">
        <w:t>? </w:t>
      </w:r>
      <w:r w:rsidR="007F2DA2" w:rsidRPr="00616E8D">
        <w:t>139</w:t>
      </w:r>
      <w:r w:rsidR="007F2DA2">
        <w:rPr>
          <w:sz w:val="22"/>
          <w:szCs w:val="22"/>
        </w:rPr>
        <w:t xml:space="preserve"> </w:t>
      </w:r>
      <w:r w:rsidRPr="00616E8D">
        <w:rPr>
          <w:smallCaps/>
        </w:rPr>
        <w:t>Pediatrics</w:t>
      </w:r>
      <w:r w:rsidRPr="00616E8D">
        <w:t> </w:t>
      </w:r>
      <w:r w:rsidR="007F2DA2" w:rsidRPr="00616E8D">
        <w:t>2 (</w:t>
      </w:r>
      <w:r w:rsidRPr="00616E8D">
        <w:t>February 201</w:t>
      </w:r>
      <w:r w:rsidR="007F2DA2" w:rsidRPr="00616E8D">
        <w:t>7)</w:t>
      </w:r>
      <w:r w:rsidR="00515ABD" w:rsidRPr="00616E8D">
        <w:t>.</w:t>
      </w:r>
    </w:p>
  </w:footnote>
  <w:footnote w:id="4">
    <w:p w14:paraId="566E5C4B" w14:textId="4BA52EA1" w:rsidR="00940FAA" w:rsidRPr="00616E8D" w:rsidRDefault="00940FAA">
      <w:pPr>
        <w:pStyle w:val="FootnoteText"/>
      </w:pPr>
      <w:r w:rsidRPr="00616E8D">
        <w:rPr>
          <w:rStyle w:val="FootnoteReference"/>
        </w:rPr>
        <w:footnoteRef/>
      </w:r>
      <w:r w:rsidRPr="00616E8D">
        <w:t xml:space="preserve"> Michelle O’Reilly</w:t>
      </w:r>
      <w:r w:rsidR="006C1E88" w:rsidRPr="00616E8D">
        <w:t xml:space="preserve"> et al.</w:t>
      </w:r>
      <w:r w:rsidR="006961E5" w:rsidRPr="00616E8D">
        <w:t xml:space="preserve">, </w:t>
      </w:r>
      <w:r w:rsidR="006961E5" w:rsidRPr="00616E8D">
        <w:rPr>
          <w:i/>
          <w:iCs/>
        </w:rPr>
        <w:t>Exploring the potentially positive interaction between social media and mental health; the perspective of adolescents</w:t>
      </w:r>
      <w:r w:rsidR="006961E5" w:rsidRPr="00616E8D">
        <w:t xml:space="preserve">, </w:t>
      </w:r>
      <w:r w:rsidR="00131529" w:rsidRPr="00616E8D">
        <w:rPr>
          <w:smallCaps/>
        </w:rPr>
        <w:t>Clinical Child Psychology and Psychiatry</w:t>
      </w:r>
      <w:r w:rsidR="00131529" w:rsidRPr="00616E8D">
        <w:t>”</w:t>
      </w:r>
      <w:r w:rsidR="00867712" w:rsidRPr="00616E8D">
        <w:t xml:space="preserve"> </w:t>
      </w:r>
      <w:r w:rsidR="00F23921" w:rsidRPr="00616E8D">
        <w:t>(June 12, 2022),</w:t>
      </w:r>
      <w:r w:rsidR="00131529" w:rsidRPr="00616E8D">
        <w:t xml:space="preserve"> </w:t>
      </w:r>
      <w:r w:rsidR="00131529" w:rsidRPr="00616E8D">
        <w:t>https://journals.sagepub.com/doi/abs/10.1177/13591045221106573</w:t>
      </w:r>
      <w:r w:rsidR="00F23921" w:rsidRPr="00616E8D">
        <w:t xml:space="preserve">. </w:t>
      </w:r>
    </w:p>
  </w:footnote>
  <w:footnote w:id="5">
    <w:p w14:paraId="3F94B3D0" w14:textId="1E79561F" w:rsidR="00E66DC5" w:rsidRPr="00411956" w:rsidRDefault="00E66DC5" w:rsidP="00E66DC5">
      <w:pPr>
        <w:pStyle w:val="FootnoteText"/>
        <w:rPr>
          <w:sz w:val="22"/>
          <w:szCs w:val="22"/>
        </w:rPr>
      </w:pPr>
      <w:r w:rsidRPr="00616E8D">
        <w:rPr>
          <w:rStyle w:val="FootnoteReference"/>
        </w:rPr>
        <w:footnoteRef/>
      </w:r>
      <w:r w:rsidRPr="00616E8D">
        <w:t xml:space="preserve"> Marie </w:t>
      </w:r>
      <w:proofErr w:type="spellStart"/>
      <w:r w:rsidRPr="00616E8D">
        <w:t>Plaisime</w:t>
      </w:r>
      <w:proofErr w:type="spellEnd"/>
      <w:r w:rsidR="006C1E88" w:rsidRPr="00616E8D">
        <w:t xml:space="preserve"> et al.</w:t>
      </w:r>
      <w:r w:rsidR="00212B4C" w:rsidRPr="00616E8D">
        <w:t xml:space="preserve">, </w:t>
      </w:r>
      <w:proofErr w:type="gramStart"/>
      <w:r w:rsidR="00212B4C" w:rsidRPr="00616E8D">
        <w:rPr>
          <w:i/>
          <w:iCs/>
        </w:rPr>
        <w:t>Social Media</w:t>
      </w:r>
      <w:proofErr w:type="gramEnd"/>
      <w:r w:rsidR="00212B4C" w:rsidRPr="00616E8D">
        <w:rPr>
          <w:i/>
          <w:iCs/>
        </w:rPr>
        <w:t xml:space="preserve"> and Teens: A Needs Assessment Exploring the Potential Role of Social Media in Promoting Health,</w:t>
      </w:r>
      <w:r w:rsidR="00212B4C" w:rsidRPr="00616E8D">
        <w:t xml:space="preserve"> </w:t>
      </w:r>
      <w:r w:rsidR="00E42198" w:rsidRPr="00616E8D">
        <w:rPr>
          <w:smallCaps/>
        </w:rPr>
        <w:t>Social Media and Society</w:t>
      </w:r>
      <w:r w:rsidR="00E42198" w:rsidRPr="00616E8D">
        <w:t xml:space="preserve">, (February 26, 2020) </w:t>
      </w:r>
      <w:proofErr w:type="gramStart"/>
      <w:r w:rsidR="00E42198" w:rsidRPr="00616E8D">
        <w:t>https://journals.sagepub.com/doi/full/10.1177/2056305119886025</w:t>
      </w:r>
      <w:r w:rsidR="00E42198" w:rsidRPr="00411956">
        <w:rPr>
          <w:sz w:val="22"/>
          <w:szCs w:val="22"/>
        </w:rPr>
        <w:t xml:space="preserve"> .</w:t>
      </w:r>
      <w:proofErr w:type="gramEnd"/>
    </w:p>
    <w:p w14:paraId="7A84F295" w14:textId="46C31398" w:rsidR="00E66DC5" w:rsidRPr="00212B4C" w:rsidRDefault="00E66DC5">
      <w:pPr>
        <w:pStyle w:val="FootnoteText"/>
      </w:pPr>
    </w:p>
  </w:footnote>
  <w:footnote w:id="6">
    <w:p w14:paraId="5D7E02E3" w14:textId="7DB71397" w:rsidR="0037474A" w:rsidRPr="00616E8D" w:rsidRDefault="0037474A">
      <w:pPr>
        <w:pStyle w:val="FootnoteText"/>
      </w:pPr>
      <w:r w:rsidRPr="00616E8D">
        <w:rPr>
          <w:rStyle w:val="FootnoteReference"/>
        </w:rPr>
        <w:footnoteRef/>
      </w:r>
      <w:r w:rsidRPr="00616E8D">
        <w:t xml:space="preserve"> </w:t>
      </w:r>
      <w:r w:rsidRPr="00616E8D">
        <w:rPr>
          <w:bCs/>
        </w:rPr>
        <w:t xml:space="preserve">Linda L. Caldwell and Peter A. Witt, </w:t>
      </w:r>
      <w:r w:rsidRPr="00616E8D">
        <w:rPr>
          <w:bCs/>
          <w:i/>
          <w:iCs/>
        </w:rPr>
        <w:t>Leisure, Recreation, and Play from a Developmental Context</w:t>
      </w:r>
      <w:r w:rsidRPr="00616E8D">
        <w:rPr>
          <w:bCs/>
        </w:rPr>
        <w:t xml:space="preserve">, 130 </w:t>
      </w:r>
      <w:r w:rsidRPr="00616E8D">
        <w:rPr>
          <w:bCs/>
          <w:smallCaps/>
        </w:rPr>
        <w:t>New Directions for Youth Development</w:t>
      </w:r>
      <w:r w:rsidRPr="00616E8D">
        <w:rPr>
          <w:bCs/>
        </w:rPr>
        <w:t xml:space="preserve"> </w:t>
      </w:r>
      <w:r w:rsidR="0061523D" w:rsidRPr="00616E8D">
        <w:rPr>
          <w:bCs/>
        </w:rPr>
        <w:t>18</w:t>
      </w:r>
      <w:r w:rsidRPr="00616E8D">
        <w:rPr>
          <w:bCs/>
        </w:rPr>
        <w:t xml:space="preserve"> (2011).</w:t>
      </w:r>
    </w:p>
  </w:footnote>
  <w:footnote w:id="7">
    <w:p w14:paraId="0FB00B62" w14:textId="58E58C79" w:rsidR="00AE0028" w:rsidRPr="00616E8D" w:rsidRDefault="00AE0028" w:rsidP="00AE0028">
      <w:pPr>
        <w:pStyle w:val="FootnoteText"/>
      </w:pPr>
      <w:r w:rsidRPr="00616E8D">
        <w:rPr>
          <w:rStyle w:val="FootnoteReference"/>
        </w:rPr>
        <w:footnoteRef/>
      </w:r>
      <w:r w:rsidRPr="00616E8D">
        <w:t xml:space="preserve"> </w:t>
      </w:r>
      <w:r w:rsidR="0061523D" w:rsidRPr="00616E8D">
        <w:rPr>
          <w:bCs/>
          <w:i/>
          <w:iCs/>
        </w:rPr>
        <w:t>Id</w:t>
      </w:r>
      <w:r w:rsidR="0061523D" w:rsidRPr="00616E8D">
        <w:rPr>
          <w:bCs/>
        </w:rPr>
        <w:t>. at 19.</w:t>
      </w:r>
    </w:p>
  </w:footnote>
  <w:footnote w:id="8">
    <w:p w14:paraId="21B5E380" w14:textId="1C54FA60" w:rsidR="00153A7B" w:rsidRPr="00616E8D" w:rsidRDefault="00153A7B">
      <w:pPr>
        <w:pStyle w:val="FootnoteText"/>
      </w:pPr>
      <w:r w:rsidRPr="00616E8D">
        <w:rPr>
          <w:rStyle w:val="FootnoteReference"/>
        </w:rPr>
        <w:footnoteRef/>
      </w:r>
      <w:r w:rsidRPr="00616E8D">
        <w:t xml:space="preserve"> </w:t>
      </w:r>
      <w:r w:rsidRPr="00616E8D">
        <w:t xml:space="preserve">Linda L. Caldwell and Edward A. Smith, </w:t>
      </w:r>
      <w:r w:rsidRPr="00616E8D">
        <w:rPr>
          <w:i/>
          <w:iCs/>
        </w:rPr>
        <w:t>Leisure as a Context for Youth Development and Delinquency Prevention</w:t>
      </w:r>
      <w:r w:rsidRPr="00616E8D">
        <w:t xml:space="preserve">, 39(3) </w:t>
      </w:r>
      <w:r w:rsidRPr="00616E8D">
        <w:rPr>
          <w:smallCaps/>
        </w:rPr>
        <w:t>Australian and New Zealand J. of Criminology</w:t>
      </w:r>
      <w:r w:rsidRPr="00616E8D">
        <w:t xml:space="preserve">, </w:t>
      </w:r>
      <w:r w:rsidRPr="00616E8D">
        <w:t>411</w:t>
      </w:r>
      <w:r w:rsidRPr="00616E8D">
        <w:t xml:space="preserve">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4" w:type="dxa"/>
        <w:right w:w="14" w:type="dxa"/>
      </w:tblCellMar>
      <w:tblLook w:val="0000" w:firstRow="0" w:lastRow="0" w:firstColumn="0" w:lastColumn="0" w:noHBand="0" w:noVBand="0"/>
    </w:tblPr>
    <w:tblGrid>
      <w:gridCol w:w="432"/>
    </w:tblGrid>
    <w:tr w:rsidR="002D3F40" w14:paraId="163CD1CE" w14:textId="77777777">
      <w:trPr>
        <w:cantSplit/>
      </w:trPr>
      <w:tc>
        <w:tcPr>
          <w:tcW w:w="432" w:type="dxa"/>
        </w:tcPr>
        <w:p w14:paraId="2D01871D" w14:textId="77777777" w:rsidR="00AF66A1" w:rsidRDefault="00AF66A1">
          <w:pPr>
            <w:pStyle w:val="Header"/>
            <w:framePr w:w="360" w:hSpace="187" w:vSpace="187" w:wrap="auto" w:vAnchor="page" w:hAnchor="page" w:x="1153" w:yAlign="top"/>
            <w:ind w:right="72"/>
            <w:jc w:val="right"/>
          </w:pPr>
        </w:p>
        <w:p w14:paraId="2EA94039" w14:textId="77777777" w:rsidR="00AF66A1" w:rsidRDefault="00AF66A1">
          <w:pPr>
            <w:pStyle w:val="Header"/>
            <w:framePr w:w="360" w:hSpace="187" w:vSpace="187" w:wrap="auto" w:vAnchor="page" w:hAnchor="page" w:x="1153" w:yAlign="top"/>
            <w:ind w:right="72"/>
            <w:jc w:val="right"/>
          </w:pPr>
        </w:p>
        <w:p w14:paraId="2E1198A2" w14:textId="77777777" w:rsidR="00AF66A1" w:rsidRDefault="00AF66A1">
          <w:pPr>
            <w:pStyle w:val="Header"/>
            <w:framePr w:w="360" w:hSpace="187" w:vSpace="187" w:wrap="auto" w:vAnchor="page" w:hAnchor="page" w:x="1153" w:yAlign="top"/>
            <w:ind w:right="72"/>
            <w:jc w:val="right"/>
          </w:pPr>
        </w:p>
        <w:p w14:paraId="74195517" w14:textId="77777777" w:rsidR="00AF66A1" w:rsidRDefault="00BF7909">
          <w:pPr>
            <w:pStyle w:val="Header"/>
            <w:framePr w:w="360" w:hSpace="187" w:vSpace="187" w:wrap="auto" w:vAnchor="page" w:hAnchor="page" w:x="1153" w:yAlign="top"/>
            <w:ind w:right="72"/>
            <w:jc w:val="right"/>
          </w:pPr>
          <w:r>
            <w:t>1</w:t>
          </w:r>
        </w:p>
        <w:p w14:paraId="0AE2562F" w14:textId="77777777" w:rsidR="00AF66A1" w:rsidRDefault="00BF7909">
          <w:pPr>
            <w:pStyle w:val="Header"/>
            <w:framePr w:w="360" w:hSpace="187" w:vSpace="187" w:wrap="auto" w:vAnchor="page" w:hAnchor="page" w:x="1153" w:yAlign="top"/>
            <w:ind w:right="72"/>
            <w:jc w:val="right"/>
          </w:pPr>
          <w:r>
            <w:t>2</w:t>
          </w:r>
        </w:p>
        <w:p w14:paraId="2811023F" w14:textId="77777777" w:rsidR="00AF66A1" w:rsidRDefault="00BF7909">
          <w:pPr>
            <w:pStyle w:val="Header"/>
            <w:framePr w:w="360" w:hSpace="187" w:vSpace="187" w:wrap="auto" w:vAnchor="page" w:hAnchor="page" w:x="1153" w:yAlign="top"/>
            <w:ind w:right="72"/>
            <w:jc w:val="right"/>
          </w:pPr>
          <w:r>
            <w:t>3</w:t>
          </w:r>
        </w:p>
        <w:p w14:paraId="2F8FF511" w14:textId="77777777" w:rsidR="00AF66A1" w:rsidRDefault="00BF7909">
          <w:pPr>
            <w:pStyle w:val="Header"/>
            <w:framePr w:w="360" w:hSpace="187" w:vSpace="187" w:wrap="auto" w:vAnchor="page" w:hAnchor="page" w:x="1153" w:yAlign="top"/>
            <w:ind w:right="72"/>
            <w:jc w:val="right"/>
          </w:pPr>
          <w:r>
            <w:t>4</w:t>
          </w:r>
        </w:p>
        <w:p w14:paraId="40B96046" w14:textId="77777777" w:rsidR="00AF66A1" w:rsidRDefault="00BF7909">
          <w:pPr>
            <w:pStyle w:val="Header"/>
            <w:framePr w:w="360" w:hSpace="187" w:vSpace="187" w:wrap="auto" w:vAnchor="page" w:hAnchor="page" w:x="1153" w:yAlign="top"/>
            <w:ind w:right="72"/>
            <w:jc w:val="right"/>
          </w:pPr>
          <w:r>
            <w:t>5</w:t>
          </w:r>
        </w:p>
        <w:p w14:paraId="22AF21C4" w14:textId="77777777" w:rsidR="00AF66A1" w:rsidRDefault="00BF7909">
          <w:pPr>
            <w:pStyle w:val="Header"/>
            <w:framePr w:w="360" w:hSpace="187" w:vSpace="187" w:wrap="auto" w:vAnchor="page" w:hAnchor="page" w:x="1153" w:yAlign="top"/>
            <w:ind w:right="72"/>
            <w:jc w:val="right"/>
          </w:pPr>
          <w:r>
            <w:t>6</w:t>
          </w:r>
        </w:p>
        <w:p w14:paraId="33AF28DB" w14:textId="77777777" w:rsidR="00AF66A1" w:rsidRDefault="00BF7909">
          <w:pPr>
            <w:pStyle w:val="Header"/>
            <w:framePr w:w="360" w:hSpace="187" w:vSpace="187" w:wrap="auto" w:vAnchor="page" w:hAnchor="page" w:x="1153" w:yAlign="top"/>
            <w:ind w:right="72"/>
            <w:jc w:val="right"/>
          </w:pPr>
          <w:r>
            <w:t>7</w:t>
          </w:r>
        </w:p>
        <w:p w14:paraId="61BF2C6D" w14:textId="77777777" w:rsidR="00AF66A1" w:rsidRDefault="00BF7909">
          <w:pPr>
            <w:pStyle w:val="Header"/>
            <w:framePr w:w="360" w:hSpace="187" w:vSpace="187" w:wrap="auto" w:vAnchor="page" w:hAnchor="page" w:x="1153" w:yAlign="top"/>
            <w:ind w:right="72"/>
            <w:jc w:val="right"/>
          </w:pPr>
          <w:r>
            <w:t>8</w:t>
          </w:r>
        </w:p>
        <w:p w14:paraId="7E184DC0" w14:textId="77777777" w:rsidR="00AF66A1" w:rsidRDefault="00BF7909">
          <w:pPr>
            <w:pStyle w:val="Header"/>
            <w:framePr w:w="360" w:hSpace="187" w:vSpace="187" w:wrap="auto" w:vAnchor="page" w:hAnchor="page" w:x="1153" w:yAlign="top"/>
            <w:ind w:right="72"/>
            <w:jc w:val="right"/>
          </w:pPr>
          <w:r>
            <w:t>9</w:t>
          </w:r>
        </w:p>
        <w:p w14:paraId="056BBE22" w14:textId="77777777" w:rsidR="00AF66A1" w:rsidRDefault="00BF7909">
          <w:pPr>
            <w:pStyle w:val="Header"/>
            <w:framePr w:w="360" w:hSpace="187" w:vSpace="187" w:wrap="auto" w:vAnchor="page" w:hAnchor="page" w:x="1153" w:yAlign="top"/>
            <w:ind w:right="72"/>
            <w:jc w:val="right"/>
          </w:pPr>
          <w:r>
            <w:t>10</w:t>
          </w:r>
        </w:p>
        <w:p w14:paraId="1169C9BD" w14:textId="77777777" w:rsidR="00AF66A1" w:rsidRDefault="00BF7909">
          <w:pPr>
            <w:pStyle w:val="Header"/>
            <w:framePr w:w="360" w:hSpace="187" w:vSpace="187" w:wrap="auto" w:vAnchor="page" w:hAnchor="page" w:x="1153" w:yAlign="top"/>
            <w:ind w:right="72"/>
            <w:jc w:val="right"/>
          </w:pPr>
          <w:r>
            <w:t>11</w:t>
          </w:r>
        </w:p>
        <w:p w14:paraId="226D11A8" w14:textId="77777777" w:rsidR="00AF66A1" w:rsidRDefault="00BF7909">
          <w:pPr>
            <w:pStyle w:val="Header"/>
            <w:framePr w:w="360" w:hSpace="187" w:vSpace="187" w:wrap="auto" w:vAnchor="page" w:hAnchor="page" w:x="1153" w:yAlign="top"/>
            <w:ind w:right="72"/>
            <w:jc w:val="right"/>
          </w:pPr>
          <w:r>
            <w:t>12</w:t>
          </w:r>
        </w:p>
        <w:p w14:paraId="4D4B2423" w14:textId="77777777" w:rsidR="00AF66A1" w:rsidRDefault="00BF7909">
          <w:pPr>
            <w:pStyle w:val="Header"/>
            <w:framePr w:w="360" w:hSpace="187" w:vSpace="187" w:wrap="auto" w:vAnchor="page" w:hAnchor="page" w:x="1153" w:yAlign="top"/>
            <w:ind w:right="72"/>
            <w:jc w:val="right"/>
          </w:pPr>
          <w:r>
            <w:t>13</w:t>
          </w:r>
        </w:p>
        <w:p w14:paraId="56B61ED7" w14:textId="77777777" w:rsidR="00AF66A1" w:rsidRDefault="00BF7909">
          <w:pPr>
            <w:pStyle w:val="Header"/>
            <w:framePr w:w="360" w:hSpace="187" w:vSpace="187" w:wrap="auto" w:vAnchor="page" w:hAnchor="page" w:x="1153" w:yAlign="top"/>
            <w:ind w:right="72"/>
            <w:jc w:val="right"/>
          </w:pPr>
          <w:r>
            <w:t>14</w:t>
          </w:r>
        </w:p>
        <w:p w14:paraId="23CA0CED" w14:textId="77777777" w:rsidR="00AF66A1" w:rsidRDefault="00BF7909">
          <w:pPr>
            <w:pStyle w:val="Header"/>
            <w:framePr w:w="360" w:hSpace="187" w:vSpace="187" w:wrap="auto" w:vAnchor="page" w:hAnchor="page" w:x="1153" w:yAlign="top"/>
            <w:ind w:right="72"/>
            <w:jc w:val="right"/>
          </w:pPr>
          <w:r>
            <w:t>15</w:t>
          </w:r>
        </w:p>
        <w:p w14:paraId="195EAC61" w14:textId="77777777" w:rsidR="00AF66A1" w:rsidRDefault="00BF7909">
          <w:pPr>
            <w:pStyle w:val="Header"/>
            <w:framePr w:w="360" w:hSpace="187" w:vSpace="187" w:wrap="auto" w:vAnchor="page" w:hAnchor="page" w:x="1153" w:yAlign="top"/>
            <w:ind w:right="72"/>
            <w:jc w:val="right"/>
          </w:pPr>
          <w:r>
            <w:t>16</w:t>
          </w:r>
        </w:p>
        <w:p w14:paraId="6007B544" w14:textId="77777777" w:rsidR="00AF66A1" w:rsidRDefault="00BF7909">
          <w:pPr>
            <w:pStyle w:val="Header"/>
            <w:framePr w:w="360" w:hSpace="187" w:vSpace="187" w:wrap="auto" w:vAnchor="page" w:hAnchor="page" w:x="1153" w:yAlign="top"/>
            <w:ind w:right="72"/>
            <w:jc w:val="right"/>
          </w:pPr>
          <w:r>
            <w:t>17</w:t>
          </w:r>
        </w:p>
        <w:p w14:paraId="22C1DC1A" w14:textId="77777777" w:rsidR="00AF66A1" w:rsidRDefault="00BF7909">
          <w:pPr>
            <w:pStyle w:val="Header"/>
            <w:framePr w:w="360" w:hSpace="187" w:vSpace="187" w:wrap="auto" w:vAnchor="page" w:hAnchor="page" w:x="1153" w:yAlign="top"/>
            <w:ind w:right="72"/>
            <w:jc w:val="right"/>
          </w:pPr>
          <w:r>
            <w:t>18</w:t>
          </w:r>
        </w:p>
        <w:p w14:paraId="0225A897" w14:textId="77777777" w:rsidR="00AF66A1" w:rsidRDefault="00BF7909">
          <w:pPr>
            <w:pStyle w:val="Header"/>
            <w:framePr w:w="360" w:hSpace="187" w:vSpace="187" w:wrap="auto" w:vAnchor="page" w:hAnchor="page" w:x="1153" w:yAlign="top"/>
            <w:ind w:right="72"/>
            <w:jc w:val="right"/>
          </w:pPr>
          <w:r>
            <w:t>19</w:t>
          </w:r>
        </w:p>
        <w:p w14:paraId="79C165D8" w14:textId="77777777" w:rsidR="00AF66A1" w:rsidRDefault="00BF7909">
          <w:pPr>
            <w:pStyle w:val="Header"/>
            <w:framePr w:w="360" w:hSpace="187" w:vSpace="187" w:wrap="auto" w:vAnchor="page" w:hAnchor="page" w:x="1153" w:yAlign="top"/>
            <w:ind w:right="72"/>
            <w:jc w:val="right"/>
          </w:pPr>
          <w:r>
            <w:t>20</w:t>
          </w:r>
        </w:p>
        <w:p w14:paraId="0B6D0A22" w14:textId="77777777" w:rsidR="00AF66A1" w:rsidRDefault="00BF7909">
          <w:pPr>
            <w:pStyle w:val="Header"/>
            <w:framePr w:w="360" w:hSpace="187" w:vSpace="187" w:wrap="auto" w:vAnchor="page" w:hAnchor="page" w:x="1153" w:yAlign="top"/>
            <w:ind w:right="72"/>
            <w:jc w:val="right"/>
          </w:pPr>
          <w:r>
            <w:t>21</w:t>
          </w:r>
        </w:p>
        <w:p w14:paraId="712A6BBA" w14:textId="77777777" w:rsidR="00AF66A1" w:rsidRDefault="00BF7909">
          <w:pPr>
            <w:pStyle w:val="Header"/>
            <w:framePr w:w="360" w:hSpace="187" w:vSpace="187" w:wrap="auto" w:vAnchor="page" w:hAnchor="page" w:x="1153" w:yAlign="top"/>
            <w:ind w:right="72"/>
            <w:jc w:val="right"/>
          </w:pPr>
          <w:r>
            <w:t>22</w:t>
          </w:r>
        </w:p>
        <w:p w14:paraId="0373B350" w14:textId="77777777" w:rsidR="00AF66A1" w:rsidRDefault="00BF7909">
          <w:pPr>
            <w:pStyle w:val="Header"/>
            <w:framePr w:w="360" w:hSpace="187" w:vSpace="187" w:wrap="auto" w:vAnchor="page" w:hAnchor="page" w:x="1153" w:yAlign="top"/>
            <w:ind w:right="72"/>
            <w:jc w:val="right"/>
          </w:pPr>
          <w:r>
            <w:t>23</w:t>
          </w:r>
        </w:p>
        <w:p w14:paraId="08B2B78B" w14:textId="77777777" w:rsidR="00AF66A1" w:rsidRDefault="00BF7909">
          <w:pPr>
            <w:pStyle w:val="Header"/>
            <w:framePr w:w="360" w:hSpace="187" w:vSpace="187" w:wrap="auto" w:vAnchor="page" w:hAnchor="page" w:x="1153" w:yAlign="top"/>
            <w:ind w:right="72"/>
            <w:jc w:val="right"/>
          </w:pPr>
          <w:r>
            <w:t>24</w:t>
          </w:r>
        </w:p>
        <w:p w14:paraId="4B37FACE" w14:textId="77777777" w:rsidR="00AF66A1" w:rsidRDefault="00BF7909">
          <w:pPr>
            <w:pStyle w:val="Header"/>
            <w:framePr w:w="360" w:hSpace="187" w:vSpace="187" w:wrap="auto" w:vAnchor="page" w:hAnchor="page" w:x="1153" w:yAlign="top"/>
            <w:ind w:right="72"/>
            <w:jc w:val="right"/>
          </w:pPr>
          <w:r>
            <w:t>25</w:t>
          </w:r>
        </w:p>
        <w:p w14:paraId="3D9D8A3A" w14:textId="77777777" w:rsidR="00AF66A1" w:rsidRDefault="00BF7909">
          <w:pPr>
            <w:pStyle w:val="Header"/>
            <w:framePr w:w="360" w:hSpace="187" w:vSpace="187" w:wrap="auto" w:vAnchor="page" w:hAnchor="page" w:x="1153" w:yAlign="top"/>
            <w:ind w:right="72"/>
            <w:jc w:val="right"/>
          </w:pPr>
          <w:r>
            <w:t>26</w:t>
          </w:r>
        </w:p>
        <w:p w14:paraId="5FCCA14B" w14:textId="77777777" w:rsidR="00AF66A1" w:rsidRDefault="00AF66A1">
          <w:pPr>
            <w:pStyle w:val="Header"/>
            <w:framePr w:w="360" w:hSpace="187" w:vSpace="187" w:wrap="auto" w:vAnchor="page" w:hAnchor="page" w:x="1153" w:yAlign="top"/>
            <w:ind w:right="72"/>
            <w:jc w:val="right"/>
          </w:pPr>
        </w:p>
        <w:p w14:paraId="4854AC5D" w14:textId="77777777" w:rsidR="00AF66A1" w:rsidRDefault="00AF66A1">
          <w:pPr>
            <w:pStyle w:val="Header"/>
            <w:framePr w:w="360" w:hSpace="187" w:vSpace="187" w:wrap="auto" w:vAnchor="page" w:hAnchor="page" w:x="1153" w:yAlign="top"/>
            <w:ind w:right="72"/>
            <w:jc w:val="right"/>
          </w:pPr>
        </w:p>
        <w:p w14:paraId="736537C2" w14:textId="77777777" w:rsidR="00AF66A1" w:rsidRDefault="00AF66A1">
          <w:pPr>
            <w:pStyle w:val="Header"/>
            <w:framePr w:w="360" w:hSpace="187" w:vSpace="187" w:wrap="auto" w:vAnchor="page" w:hAnchor="page" w:x="1153" w:yAlign="top"/>
            <w:ind w:right="72"/>
            <w:jc w:val="right"/>
          </w:pPr>
        </w:p>
        <w:p w14:paraId="0D1914BA" w14:textId="77777777" w:rsidR="00AF66A1" w:rsidRDefault="00AF66A1">
          <w:pPr>
            <w:pStyle w:val="Header"/>
            <w:framePr w:w="360" w:hSpace="187" w:vSpace="187" w:wrap="auto" w:vAnchor="page" w:hAnchor="page" w:x="1153" w:yAlign="top"/>
            <w:ind w:right="72"/>
            <w:jc w:val="right"/>
          </w:pPr>
        </w:p>
      </w:tc>
    </w:tr>
  </w:tbl>
  <w:p w14:paraId="36498216" w14:textId="77777777" w:rsidR="00AF66A1" w:rsidRDefault="00B6688E" w:rsidP="00B6688E">
    <w:pPr>
      <w:pStyle w:val="Header"/>
      <w:tabs>
        <w:tab w:val="clear" w:pos="4320"/>
        <w:tab w:val="clear" w:pos="8640"/>
        <w:tab w:val="left" w:pos="5355"/>
      </w:tabs>
      <w:spacing w:line="15840" w:lineRule="atLeast"/>
      <w:ind w:left="-187" w:right="-86"/>
    </w:pPr>
    <w:r>
      <w:tab/>
    </w:r>
  </w:p>
  <w:p w14:paraId="3D104CF3" w14:textId="77777777" w:rsidR="00AF66A1" w:rsidRDefault="00AF66A1">
    <w:pPr>
      <w:spacing w:line="36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2B"/>
    <w:multiLevelType w:val="hybridMultilevel"/>
    <w:tmpl w:val="3424A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91CA20A">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773B7"/>
    <w:multiLevelType w:val="hybridMultilevel"/>
    <w:tmpl w:val="15E8B2E8"/>
    <w:lvl w:ilvl="0" w:tplc="0409000F">
      <w:start w:val="1"/>
      <w:numFmt w:val="decimal"/>
      <w:lvlText w:val="%1."/>
      <w:lvlJc w:val="left"/>
      <w:pPr>
        <w:ind w:left="720" w:hanging="360"/>
      </w:pPr>
      <w:rPr>
        <w:rFonts w:hint="default"/>
      </w:rPr>
    </w:lvl>
    <w:lvl w:ilvl="1" w:tplc="05FAA9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91CA20A">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0251F"/>
    <w:multiLevelType w:val="hybridMultilevel"/>
    <w:tmpl w:val="6054152A"/>
    <w:lvl w:ilvl="0" w:tplc="03BCB15A">
      <w:numFmt w:val="bullet"/>
      <w:lvlText w:val="-"/>
      <w:lvlJc w:val="left"/>
      <w:pPr>
        <w:ind w:left="720" w:hanging="360"/>
      </w:pPr>
      <w:rPr>
        <w:rFonts w:ascii="Courier" w:eastAsia="Times New Roman" w:hAnsi="Courier"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95CE0"/>
    <w:multiLevelType w:val="hybridMultilevel"/>
    <w:tmpl w:val="D4EC201C"/>
    <w:lvl w:ilvl="0" w:tplc="7966B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32D43"/>
    <w:multiLevelType w:val="hybridMultilevel"/>
    <w:tmpl w:val="23802BC0"/>
    <w:lvl w:ilvl="0" w:tplc="5EA0A9A2">
      <w:start w:val="201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50A7C"/>
    <w:multiLevelType w:val="hybridMultilevel"/>
    <w:tmpl w:val="622CB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91CA20A">
      <w:start w:val="1"/>
      <w:numFmt w:val="lowerRoman"/>
      <w:lvlText w:val="%6."/>
      <w:lvlJc w:val="right"/>
      <w:pPr>
        <w:ind w:left="4320" w:hanging="180"/>
      </w:pPr>
      <w:rPr>
        <w:b w:val="0"/>
      </w:rPr>
    </w:lvl>
    <w:lvl w:ilvl="6" w:tplc="0409000F">
      <w:start w:val="1"/>
      <w:numFmt w:val="decimal"/>
      <w:lvlText w:val="%7."/>
      <w:lvlJc w:val="left"/>
      <w:pPr>
        <w:ind w:left="5040" w:hanging="360"/>
      </w:pPr>
    </w:lvl>
    <w:lvl w:ilvl="7" w:tplc="D0E43D10">
      <w:start w:val="78"/>
      <w:numFmt w:val="bullet"/>
      <w:lvlText w:val="-"/>
      <w:lvlJc w:val="left"/>
      <w:pPr>
        <w:ind w:left="5760" w:hanging="360"/>
      </w:pPr>
      <w:rPr>
        <w:rFonts w:ascii="AdvTT5235d5a9" w:eastAsia="Times New Roman" w:hAnsi="AdvTT5235d5a9" w:cs="Times New Roman" w:hint="default"/>
        <w:sz w:val="16"/>
      </w:rPr>
    </w:lvl>
    <w:lvl w:ilvl="8" w:tplc="0409001B" w:tentative="1">
      <w:start w:val="1"/>
      <w:numFmt w:val="lowerRoman"/>
      <w:lvlText w:val="%9."/>
      <w:lvlJc w:val="right"/>
      <w:pPr>
        <w:ind w:left="6480" w:hanging="180"/>
      </w:pPr>
    </w:lvl>
  </w:abstractNum>
  <w:abstractNum w:abstractNumId="6" w15:restartNumberingAfterBreak="0">
    <w:nsid w:val="6B7E0548"/>
    <w:multiLevelType w:val="hybridMultilevel"/>
    <w:tmpl w:val="40F8ECDC"/>
    <w:lvl w:ilvl="0" w:tplc="5EA0A9A2">
      <w:start w:val="201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25044"/>
    <w:multiLevelType w:val="hybridMultilevel"/>
    <w:tmpl w:val="4660647A"/>
    <w:lvl w:ilvl="0" w:tplc="358455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0523C"/>
    <w:multiLevelType w:val="hybridMultilevel"/>
    <w:tmpl w:val="03C02FA4"/>
    <w:lvl w:ilvl="0" w:tplc="03BCB15A">
      <w:numFmt w:val="bullet"/>
      <w:lvlText w:val="-"/>
      <w:lvlJc w:val="left"/>
      <w:pPr>
        <w:ind w:left="720" w:hanging="360"/>
      </w:pPr>
      <w:rPr>
        <w:rFonts w:ascii="Courier" w:eastAsia="Times New Roman" w:hAnsi="Courier" w:cs="Times New Roman" w:hint="default"/>
        <w:b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28325">
    <w:abstractNumId w:val="3"/>
  </w:num>
  <w:num w:numId="2" w16cid:durableId="572158252">
    <w:abstractNumId w:val="7"/>
  </w:num>
  <w:num w:numId="3" w16cid:durableId="576330481">
    <w:abstractNumId w:val="2"/>
  </w:num>
  <w:num w:numId="4" w16cid:durableId="668362934">
    <w:abstractNumId w:val="8"/>
  </w:num>
  <w:num w:numId="5" w16cid:durableId="1734037593">
    <w:abstractNumId w:val="1"/>
  </w:num>
  <w:num w:numId="6" w16cid:durableId="1891767291">
    <w:abstractNumId w:val="0"/>
  </w:num>
  <w:num w:numId="7" w16cid:durableId="1219515696">
    <w:abstractNumId w:val="6"/>
  </w:num>
  <w:num w:numId="8" w16cid:durableId="838928803">
    <w:abstractNumId w:val="4"/>
  </w:num>
  <w:num w:numId="9" w16cid:durableId="89844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87"/>
    <w:rsid w:val="00024949"/>
    <w:rsid w:val="00030574"/>
    <w:rsid w:val="00067951"/>
    <w:rsid w:val="0008784A"/>
    <w:rsid w:val="000A5E7A"/>
    <w:rsid w:val="000B0719"/>
    <w:rsid w:val="000C0C21"/>
    <w:rsid w:val="00115F41"/>
    <w:rsid w:val="00122D55"/>
    <w:rsid w:val="00131529"/>
    <w:rsid w:val="00141C7D"/>
    <w:rsid w:val="00153A7B"/>
    <w:rsid w:val="00164C21"/>
    <w:rsid w:val="001714C3"/>
    <w:rsid w:val="00181696"/>
    <w:rsid w:val="001A7282"/>
    <w:rsid w:val="001B1AAB"/>
    <w:rsid w:val="001B3793"/>
    <w:rsid w:val="001B53BE"/>
    <w:rsid w:val="001D6A3D"/>
    <w:rsid w:val="001D7AF1"/>
    <w:rsid w:val="001F4730"/>
    <w:rsid w:val="00206FDC"/>
    <w:rsid w:val="00212B4C"/>
    <w:rsid w:val="00215A43"/>
    <w:rsid w:val="00235354"/>
    <w:rsid w:val="0024079B"/>
    <w:rsid w:val="00241EDF"/>
    <w:rsid w:val="002425C1"/>
    <w:rsid w:val="002622AD"/>
    <w:rsid w:val="002911F0"/>
    <w:rsid w:val="002A7C48"/>
    <w:rsid w:val="002D34E9"/>
    <w:rsid w:val="00315C95"/>
    <w:rsid w:val="0032192D"/>
    <w:rsid w:val="00322C52"/>
    <w:rsid w:val="00325A6C"/>
    <w:rsid w:val="00333DCD"/>
    <w:rsid w:val="0037474A"/>
    <w:rsid w:val="00387FD9"/>
    <w:rsid w:val="003A5D4E"/>
    <w:rsid w:val="003C0B9E"/>
    <w:rsid w:val="003E61DE"/>
    <w:rsid w:val="00411956"/>
    <w:rsid w:val="00425309"/>
    <w:rsid w:val="004319C9"/>
    <w:rsid w:val="0045418C"/>
    <w:rsid w:val="004562EC"/>
    <w:rsid w:val="00496059"/>
    <w:rsid w:val="004960F4"/>
    <w:rsid w:val="0049735A"/>
    <w:rsid w:val="004A50C0"/>
    <w:rsid w:val="004A6BC3"/>
    <w:rsid w:val="004A79E3"/>
    <w:rsid w:val="004D5576"/>
    <w:rsid w:val="004E4A18"/>
    <w:rsid w:val="004E589A"/>
    <w:rsid w:val="00500F63"/>
    <w:rsid w:val="00502C87"/>
    <w:rsid w:val="00515ABD"/>
    <w:rsid w:val="00516E87"/>
    <w:rsid w:val="0053012A"/>
    <w:rsid w:val="0053223D"/>
    <w:rsid w:val="00576492"/>
    <w:rsid w:val="005870A5"/>
    <w:rsid w:val="005A0134"/>
    <w:rsid w:val="005A023F"/>
    <w:rsid w:val="005D56A4"/>
    <w:rsid w:val="005E7C98"/>
    <w:rsid w:val="0060081B"/>
    <w:rsid w:val="00606F18"/>
    <w:rsid w:val="00614814"/>
    <w:rsid w:val="0061523D"/>
    <w:rsid w:val="00616E8D"/>
    <w:rsid w:val="006224E3"/>
    <w:rsid w:val="00624390"/>
    <w:rsid w:val="00630977"/>
    <w:rsid w:val="00681BBD"/>
    <w:rsid w:val="006961E5"/>
    <w:rsid w:val="006C1E88"/>
    <w:rsid w:val="006C5078"/>
    <w:rsid w:val="006E4740"/>
    <w:rsid w:val="006E71AA"/>
    <w:rsid w:val="007179C9"/>
    <w:rsid w:val="007234CD"/>
    <w:rsid w:val="00724383"/>
    <w:rsid w:val="00730771"/>
    <w:rsid w:val="007415BA"/>
    <w:rsid w:val="00753944"/>
    <w:rsid w:val="007569D0"/>
    <w:rsid w:val="00773231"/>
    <w:rsid w:val="007A1DFE"/>
    <w:rsid w:val="007C04AA"/>
    <w:rsid w:val="007C2205"/>
    <w:rsid w:val="007C6FED"/>
    <w:rsid w:val="007D57EF"/>
    <w:rsid w:val="007E1D8D"/>
    <w:rsid w:val="007E20E4"/>
    <w:rsid w:val="007F2DA2"/>
    <w:rsid w:val="007F65E8"/>
    <w:rsid w:val="007F71D3"/>
    <w:rsid w:val="008456A2"/>
    <w:rsid w:val="00867599"/>
    <w:rsid w:val="00867712"/>
    <w:rsid w:val="0087438C"/>
    <w:rsid w:val="00880D2E"/>
    <w:rsid w:val="0089296A"/>
    <w:rsid w:val="008933CB"/>
    <w:rsid w:val="009023F2"/>
    <w:rsid w:val="009167FC"/>
    <w:rsid w:val="00940FAA"/>
    <w:rsid w:val="009418E4"/>
    <w:rsid w:val="00944B7D"/>
    <w:rsid w:val="0099277D"/>
    <w:rsid w:val="009A06F1"/>
    <w:rsid w:val="009A0DEE"/>
    <w:rsid w:val="009B143B"/>
    <w:rsid w:val="009B52AB"/>
    <w:rsid w:val="009D5DEB"/>
    <w:rsid w:val="00A04444"/>
    <w:rsid w:val="00A0585A"/>
    <w:rsid w:val="00A274E4"/>
    <w:rsid w:val="00A30028"/>
    <w:rsid w:val="00A55324"/>
    <w:rsid w:val="00A613E1"/>
    <w:rsid w:val="00A7559C"/>
    <w:rsid w:val="00A816AC"/>
    <w:rsid w:val="00A97F1A"/>
    <w:rsid w:val="00AA2AF7"/>
    <w:rsid w:val="00AA34FB"/>
    <w:rsid w:val="00AA48AC"/>
    <w:rsid w:val="00AB51A3"/>
    <w:rsid w:val="00AD015B"/>
    <w:rsid w:val="00AE0028"/>
    <w:rsid w:val="00AE07DE"/>
    <w:rsid w:val="00AF66A1"/>
    <w:rsid w:val="00B062E0"/>
    <w:rsid w:val="00B16302"/>
    <w:rsid w:val="00B22BE0"/>
    <w:rsid w:val="00B314FA"/>
    <w:rsid w:val="00B3771B"/>
    <w:rsid w:val="00B6688E"/>
    <w:rsid w:val="00B66D50"/>
    <w:rsid w:val="00B71312"/>
    <w:rsid w:val="00B74BB8"/>
    <w:rsid w:val="00B75A34"/>
    <w:rsid w:val="00B81B7E"/>
    <w:rsid w:val="00B910CD"/>
    <w:rsid w:val="00BA2159"/>
    <w:rsid w:val="00BC4961"/>
    <w:rsid w:val="00BD488B"/>
    <w:rsid w:val="00BE4AE0"/>
    <w:rsid w:val="00BF4ED5"/>
    <w:rsid w:val="00BF7909"/>
    <w:rsid w:val="00C019BF"/>
    <w:rsid w:val="00CA568C"/>
    <w:rsid w:val="00CA5D12"/>
    <w:rsid w:val="00CE0784"/>
    <w:rsid w:val="00D05647"/>
    <w:rsid w:val="00D25A58"/>
    <w:rsid w:val="00D30BCD"/>
    <w:rsid w:val="00D5019A"/>
    <w:rsid w:val="00D53D61"/>
    <w:rsid w:val="00D662D2"/>
    <w:rsid w:val="00D663B1"/>
    <w:rsid w:val="00DA0C02"/>
    <w:rsid w:val="00DA55F8"/>
    <w:rsid w:val="00DB0D05"/>
    <w:rsid w:val="00DB1367"/>
    <w:rsid w:val="00DB1C6B"/>
    <w:rsid w:val="00DB6D3F"/>
    <w:rsid w:val="00DD4488"/>
    <w:rsid w:val="00DE2B21"/>
    <w:rsid w:val="00E03735"/>
    <w:rsid w:val="00E200A2"/>
    <w:rsid w:val="00E3205A"/>
    <w:rsid w:val="00E374BE"/>
    <w:rsid w:val="00E42198"/>
    <w:rsid w:val="00E5573E"/>
    <w:rsid w:val="00E6346D"/>
    <w:rsid w:val="00E63C38"/>
    <w:rsid w:val="00E66DC5"/>
    <w:rsid w:val="00E71A84"/>
    <w:rsid w:val="00E93BC0"/>
    <w:rsid w:val="00EA2DC0"/>
    <w:rsid w:val="00EA4141"/>
    <w:rsid w:val="00ED5142"/>
    <w:rsid w:val="00ED79CA"/>
    <w:rsid w:val="00EF092F"/>
    <w:rsid w:val="00F10A65"/>
    <w:rsid w:val="00F23921"/>
    <w:rsid w:val="00F425CB"/>
    <w:rsid w:val="00F464EC"/>
    <w:rsid w:val="00F467F0"/>
    <w:rsid w:val="00F56112"/>
    <w:rsid w:val="00F73D60"/>
    <w:rsid w:val="00F82051"/>
    <w:rsid w:val="00F8351E"/>
    <w:rsid w:val="00F91AFC"/>
    <w:rsid w:val="00FA25F8"/>
    <w:rsid w:val="00FE5644"/>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532F28"/>
  <w15:docId w15:val="{BEA039A9-079F-4275-BEB3-83386F73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909"/>
    <w:pPr>
      <w:widowControl w:val="0"/>
      <w:spacing w:line="240" w:lineRule="exact"/>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F7909"/>
    <w:pPr>
      <w:spacing w:line="480" w:lineRule="exact"/>
    </w:pPr>
  </w:style>
  <w:style w:type="paragraph" w:styleId="Footer">
    <w:name w:val="footer"/>
    <w:basedOn w:val="Normal"/>
    <w:link w:val="FooterChar"/>
    <w:uiPriority w:val="99"/>
    <w:rsid w:val="00BF7909"/>
    <w:pPr>
      <w:tabs>
        <w:tab w:val="center" w:pos="4320"/>
        <w:tab w:val="right" w:pos="8640"/>
      </w:tabs>
    </w:pPr>
  </w:style>
  <w:style w:type="character" w:customStyle="1" w:styleId="FooterChar">
    <w:name w:val="Footer Char"/>
    <w:basedOn w:val="DefaultParagraphFont"/>
    <w:link w:val="Footer"/>
    <w:uiPriority w:val="99"/>
    <w:rsid w:val="00BF7909"/>
    <w:rPr>
      <w:sz w:val="24"/>
    </w:rPr>
  </w:style>
  <w:style w:type="paragraph" w:styleId="Header">
    <w:name w:val="header"/>
    <w:basedOn w:val="Normal"/>
    <w:link w:val="HeaderChar"/>
    <w:rsid w:val="00BF7909"/>
    <w:pPr>
      <w:tabs>
        <w:tab w:val="center" w:pos="4320"/>
        <w:tab w:val="right" w:pos="8640"/>
      </w:tabs>
      <w:spacing w:line="480" w:lineRule="atLeast"/>
    </w:pPr>
  </w:style>
  <w:style w:type="character" w:customStyle="1" w:styleId="HeaderChar">
    <w:name w:val="Header Char"/>
    <w:basedOn w:val="DefaultParagraphFont"/>
    <w:link w:val="Header"/>
    <w:rsid w:val="00BF7909"/>
    <w:rPr>
      <w:sz w:val="24"/>
    </w:rPr>
  </w:style>
  <w:style w:type="paragraph" w:customStyle="1" w:styleId="Table">
    <w:name w:val="Table"/>
    <w:basedOn w:val="Normal"/>
    <w:rsid w:val="00BF7909"/>
    <w:pPr>
      <w:tabs>
        <w:tab w:val="left" w:pos="1440"/>
      </w:tabs>
      <w:spacing w:line="480" w:lineRule="exact"/>
    </w:pPr>
  </w:style>
  <w:style w:type="paragraph" w:customStyle="1" w:styleId="Table2">
    <w:name w:val="Table2"/>
    <w:basedOn w:val="Normal"/>
    <w:rsid w:val="00BF7909"/>
    <w:pPr>
      <w:spacing w:before="120"/>
      <w:ind w:left="720"/>
    </w:pPr>
  </w:style>
  <w:style w:type="character" w:styleId="PageNumber">
    <w:name w:val="page number"/>
    <w:basedOn w:val="DefaultParagraphFont"/>
    <w:rsid w:val="00BF7909"/>
  </w:style>
  <w:style w:type="paragraph" w:customStyle="1" w:styleId="Text">
    <w:name w:val="Text"/>
    <w:basedOn w:val="Normal"/>
    <w:rsid w:val="00502C87"/>
    <w:pPr>
      <w:widowControl/>
      <w:spacing w:line="480" w:lineRule="atLeast"/>
      <w:ind w:right="-1160" w:firstLine="720"/>
    </w:pPr>
    <w:rPr>
      <w:rFonts w:ascii="Courier" w:hAnsi="Courier"/>
    </w:rPr>
  </w:style>
  <w:style w:type="paragraph" w:styleId="Title">
    <w:name w:val="Title"/>
    <w:basedOn w:val="Normal"/>
    <w:link w:val="TitleChar"/>
    <w:qFormat/>
    <w:rsid w:val="00502C87"/>
    <w:pPr>
      <w:jc w:val="center"/>
    </w:pPr>
    <w:rPr>
      <w:u w:val="single"/>
    </w:rPr>
  </w:style>
  <w:style w:type="character" w:customStyle="1" w:styleId="TitleChar">
    <w:name w:val="Title Char"/>
    <w:basedOn w:val="DefaultParagraphFont"/>
    <w:link w:val="Title"/>
    <w:rsid w:val="00502C87"/>
    <w:rPr>
      <w:sz w:val="24"/>
      <w:u w:val="single"/>
    </w:rPr>
  </w:style>
  <w:style w:type="paragraph" w:styleId="ListParagraph">
    <w:name w:val="List Paragraph"/>
    <w:basedOn w:val="Normal"/>
    <w:uiPriority w:val="34"/>
    <w:qFormat/>
    <w:rsid w:val="00502C87"/>
    <w:pPr>
      <w:ind w:left="720"/>
      <w:contextualSpacing/>
    </w:pPr>
  </w:style>
  <w:style w:type="character" w:styleId="Hyperlink">
    <w:name w:val="Hyperlink"/>
    <w:uiPriority w:val="99"/>
    <w:unhideWhenUsed/>
    <w:rsid w:val="00502C87"/>
    <w:rPr>
      <w:color w:val="0000FF"/>
      <w:u w:val="single"/>
    </w:rPr>
  </w:style>
  <w:style w:type="paragraph" w:styleId="BalloonText">
    <w:name w:val="Balloon Text"/>
    <w:basedOn w:val="Normal"/>
    <w:link w:val="BalloonTextChar"/>
    <w:rsid w:val="00C019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19BF"/>
    <w:rPr>
      <w:rFonts w:ascii="Tahoma" w:hAnsi="Tahoma" w:cs="Tahoma"/>
      <w:sz w:val="16"/>
      <w:szCs w:val="16"/>
    </w:rPr>
  </w:style>
  <w:style w:type="paragraph" w:styleId="FootnoteText">
    <w:name w:val="footnote text"/>
    <w:basedOn w:val="Normal"/>
    <w:link w:val="FootnoteTextChar"/>
    <w:semiHidden/>
    <w:unhideWhenUsed/>
    <w:rsid w:val="00496059"/>
    <w:pPr>
      <w:spacing w:line="240" w:lineRule="auto"/>
    </w:pPr>
    <w:rPr>
      <w:sz w:val="20"/>
    </w:rPr>
  </w:style>
  <w:style w:type="character" w:customStyle="1" w:styleId="FootnoteTextChar">
    <w:name w:val="Footnote Text Char"/>
    <w:basedOn w:val="DefaultParagraphFont"/>
    <w:link w:val="FootnoteText"/>
    <w:semiHidden/>
    <w:rsid w:val="00496059"/>
  </w:style>
  <w:style w:type="character" w:styleId="FootnoteReference">
    <w:name w:val="footnote reference"/>
    <w:basedOn w:val="DefaultParagraphFont"/>
    <w:semiHidden/>
    <w:unhideWhenUsed/>
    <w:rsid w:val="00496059"/>
    <w:rPr>
      <w:vertAlign w:val="superscript"/>
    </w:rPr>
  </w:style>
  <w:style w:type="paragraph" w:styleId="NormalWeb">
    <w:name w:val="Normal (Web)"/>
    <w:basedOn w:val="Normal"/>
    <w:uiPriority w:val="99"/>
    <w:unhideWhenUsed/>
    <w:rsid w:val="00B062E0"/>
    <w:pPr>
      <w:widowControl/>
      <w:spacing w:before="100" w:beforeAutospacing="1" w:after="100" w:afterAutospacing="1" w:line="240" w:lineRule="auto"/>
    </w:pPr>
    <w:rPr>
      <w:szCs w:val="24"/>
    </w:rPr>
  </w:style>
  <w:style w:type="character" w:styleId="FollowedHyperlink">
    <w:name w:val="FollowedHyperlink"/>
    <w:basedOn w:val="DefaultParagraphFont"/>
    <w:semiHidden/>
    <w:unhideWhenUsed/>
    <w:rsid w:val="002622AD"/>
    <w:rPr>
      <w:color w:val="800080" w:themeColor="followedHyperlink"/>
      <w:u w:val="single"/>
    </w:rPr>
  </w:style>
  <w:style w:type="paragraph" w:customStyle="1" w:styleId="EmptyLayoutCell">
    <w:name w:val="EmptyLayoutCell"/>
    <w:basedOn w:val="Normal"/>
    <w:rsid w:val="00E63C38"/>
    <w:pPr>
      <w:widowControl/>
      <w:spacing w:line="240" w:lineRule="auto"/>
    </w:pPr>
    <w:rPr>
      <w:sz w:val="2"/>
    </w:rPr>
  </w:style>
  <w:style w:type="character" w:styleId="UnresolvedMention">
    <w:name w:val="Unresolved Mention"/>
    <w:basedOn w:val="DefaultParagraphFont"/>
    <w:uiPriority w:val="99"/>
    <w:semiHidden/>
    <w:unhideWhenUsed/>
    <w:rsid w:val="00940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3149">
      <w:bodyDiv w:val="1"/>
      <w:marLeft w:val="0"/>
      <w:marRight w:val="0"/>
      <w:marTop w:val="0"/>
      <w:marBottom w:val="0"/>
      <w:divBdr>
        <w:top w:val="none" w:sz="0" w:space="0" w:color="auto"/>
        <w:left w:val="none" w:sz="0" w:space="0" w:color="auto"/>
        <w:bottom w:val="none" w:sz="0" w:space="0" w:color="auto"/>
        <w:right w:val="none" w:sz="0" w:space="0" w:color="auto"/>
      </w:divBdr>
    </w:div>
    <w:div w:id="588269156">
      <w:bodyDiv w:val="1"/>
      <w:marLeft w:val="0"/>
      <w:marRight w:val="0"/>
      <w:marTop w:val="0"/>
      <w:marBottom w:val="0"/>
      <w:divBdr>
        <w:top w:val="none" w:sz="0" w:space="0" w:color="auto"/>
        <w:left w:val="none" w:sz="0" w:space="0" w:color="auto"/>
        <w:bottom w:val="none" w:sz="0" w:space="0" w:color="auto"/>
        <w:right w:val="none" w:sz="0" w:space="0" w:color="auto"/>
      </w:divBdr>
      <w:divsChild>
        <w:div w:id="2002809908">
          <w:marLeft w:val="0"/>
          <w:marRight w:val="0"/>
          <w:marTop w:val="0"/>
          <w:marBottom w:val="0"/>
          <w:divBdr>
            <w:top w:val="none" w:sz="0" w:space="0" w:color="auto"/>
            <w:left w:val="none" w:sz="0" w:space="0" w:color="auto"/>
            <w:bottom w:val="none" w:sz="0" w:space="0" w:color="auto"/>
            <w:right w:val="none" w:sz="0" w:space="0" w:color="auto"/>
          </w:divBdr>
        </w:div>
      </w:divsChild>
    </w:div>
    <w:div w:id="1103498676">
      <w:bodyDiv w:val="1"/>
      <w:marLeft w:val="0"/>
      <w:marRight w:val="0"/>
      <w:marTop w:val="0"/>
      <w:marBottom w:val="0"/>
      <w:divBdr>
        <w:top w:val="none" w:sz="0" w:space="0" w:color="auto"/>
        <w:left w:val="none" w:sz="0" w:space="0" w:color="auto"/>
        <w:bottom w:val="none" w:sz="0" w:space="0" w:color="auto"/>
        <w:right w:val="none" w:sz="0" w:space="0" w:color="auto"/>
      </w:divBdr>
    </w:div>
    <w:div w:id="1292714874">
      <w:bodyDiv w:val="1"/>
      <w:marLeft w:val="0"/>
      <w:marRight w:val="0"/>
      <w:marTop w:val="0"/>
      <w:marBottom w:val="0"/>
      <w:divBdr>
        <w:top w:val="none" w:sz="0" w:space="0" w:color="auto"/>
        <w:left w:val="none" w:sz="0" w:space="0" w:color="auto"/>
        <w:bottom w:val="none" w:sz="0" w:space="0" w:color="auto"/>
        <w:right w:val="none" w:sz="0" w:space="0" w:color="auto"/>
      </w:divBdr>
      <w:divsChild>
        <w:div w:id="503864721">
          <w:marLeft w:val="0"/>
          <w:marRight w:val="0"/>
          <w:marTop w:val="0"/>
          <w:marBottom w:val="0"/>
          <w:divBdr>
            <w:top w:val="none" w:sz="0" w:space="0" w:color="auto"/>
            <w:left w:val="none" w:sz="0" w:space="0" w:color="auto"/>
            <w:bottom w:val="none" w:sz="0" w:space="0" w:color="auto"/>
            <w:right w:val="none" w:sz="0" w:space="0" w:color="auto"/>
          </w:divBdr>
        </w:div>
        <w:div w:id="451943294">
          <w:marLeft w:val="0"/>
          <w:marRight w:val="0"/>
          <w:marTop w:val="0"/>
          <w:marBottom w:val="0"/>
          <w:divBdr>
            <w:top w:val="none" w:sz="0" w:space="0" w:color="auto"/>
            <w:left w:val="none" w:sz="0" w:space="0" w:color="auto"/>
            <w:bottom w:val="none" w:sz="0" w:space="0" w:color="auto"/>
            <w:right w:val="none" w:sz="0" w:space="0" w:color="auto"/>
          </w:divBdr>
        </w:div>
      </w:divsChild>
    </w:div>
    <w:div w:id="1294368472">
      <w:bodyDiv w:val="1"/>
      <w:marLeft w:val="0"/>
      <w:marRight w:val="0"/>
      <w:marTop w:val="0"/>
      <w:marBottom w:val="0"/>
      <w:divBdr>
        <w:top w:val="none" w:sz="0" w:space="0" w:color="auto"/>
        <w:left w:val="none" w:sz="0" w:space="0" w:color="auto"/>
        <w:bottom w:val="none" w:sz="0" w:space="0" w:color="auto"/>
        <w:right w:val="none" w:sz="0" w:space="0" w:color="auto"/>
      </w:divBdr>
      <w:divsChild>
        <w:div w:id="1567371805">
          <w:marLeft w:val="0"/>
          <w:marRight w:val="0"/>
          <w:marTop w:val="0"/>
          <w:marBottom w:val="0"/>
          <w:divBdr>
            <w:top w:val="none" w:sz="0" w:space="0" w:color="auto"/>
            <w:left w:val="none" w:sz="0" w:space="0" w:color="auto"/>
            <w:bottom w:val="none" w:sz="0" w:space="0" w:color="auto"/>
            <w:right w:val="none" w:sz="0" w:space="0" w:color="auto"/>
          </w:divBdr>
        </w:div>
        <w:div w:id="545676099">
          <w:marLeft w:val="0"/>
          <w:marRight w:val="0"/>
          <w:marTop w:val="0"/>
          <w:marBottom w:val="0"/>
          <w:divBdr>
            <w:top w:val="none" w:sz="0" w:space="0" w:color="auto"/>
            <w:left w:val="none" w:sz="0" w:space="0" w:color="auto"/>
            <w:bottom w:val="none" w:sz="0" w:space="0" w:color="auto"/>
            <w:right w:val="none" w:sz="0" w:space="0" w:color="auto"/>
          </w:divBdr>
        </w:div>
      </w:divsChild>
    </w:div>
    <w:div w:id="1597202621">
      <w:bodyDiv w:val="1"/>
      <w:marLeft w:val="0"/>
      <w:marRight w:val="0"/>
      <w:marTop w:val="0"/>
      <w:marBottom w:val="0"/>
      <w:divBdr>
        <w:top w:val="none" w:sz="0" w:space="0" w:color="auto"/>
        <w:left w:val="none" w:sz="0" w:space="0" w:color="auto"/>
        <w:bottom w:val="none" w:sz="0" w:space="0" w:color="auto"/>
        <w:right w:val="none" w:sz="0" w:space="0" w:color="auto"/>
      </w:divBdr>
    </w:div>
    <w:div w:id="1929462826">
      <w:bodyDiv w:val="1"/>
      <w:marLeft w:val="0"/>
      <w:marRight w:val="0"/>
      <w:marTop w:val="0"/>
      <w:marBottom w:val="0"/>
      <w:divBdr>
        <w:top w:val="none" w:sz="0" w:space="0" w:color="auto"/>
        <w:left w:val="none" w:sz="0" w:space="0" w:color="auto"/>
        <w:bottom w:val="none" w:sz="0" w:space="0" w:color="auto"/>
        <w:right w:val="none" w:sz="0" w:space="0" w:color="auto"/>
      </w:divBdr>
      <w:divsChild>
        <w:div w:id="1531719816">
          <w:marLeft w:val="0"/>
          <w:marRight w:val="0"/>
          <w:marTop w:val="0"/>
          <w:marBottom w:val="0"/>
          <w:divBdr>
            <w:top w:val="none" w:sz="0" w:space="0" w:color="auto"/>
            <w:left w:val="none" w:sz="0" w:space="0" w:color="auto"/>
            <w:bottom w:val="none" w:sz="0" w:space="0" w:color="auto"/>
            <w:right w:val="none" w:sz="0" w:space="0" w:color="auto"/>
          </w:divBdr>
        </w:div>
        <w:div w:id="1831287815">
          <w:marLeft w:val="0"/>
          <w:marRight w:val="0"/>
          <w:marTop w:val="0"/>
          <w:marBottom w:val="0"/>
          <w:divBdr>
            <w:top w:val="none" w:sz="0" w:space="0" w:color="auto"/>
            <w:left w:val="none" w:sz="0" w:space="0" w:color="auto"/>
            <w:bottom w:val="none" w:sz="0" w:space="0" w:color="auto"/>
            <w:right w:val="none" w:sz="0" w:space="0" w:color="auto"/>
          </w:divBdr>
        </w:div>
      </w:divsChild>
    </w:div>
    <w:div w:id="194468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2CF38F3EC0F4C9F68475E619B21D3" ma:contentTypeVersion="12" ma:contentTypeDescription="Create a new document." ma:contentTypeScope="" ma:versionID="4594956909946e5455e61c474d66bc4c">
  <xsd:schema xmlns:xsd="http://www.w3.org/2001/XMLSchema" xmlns:xs="http://www.w3.org/2001/XMLSchema" xmlns:p="http://schemas.microsoft.com/office/2006/metadata/properties" xmlns:ns3="ae715ac5-78ab-4e57-ab8d-71a06eb32b98" xmlns:ns4="fd6ab774-e9ec-48f6-87d7-f317e62c4660" targetNamespace="http://schemas.microsoft.com/office/2006/metadata/properties" ma:root="true" ma:fieldsID="f2a854b10b30e2a5108cbd79c3d5a4cd" ns3:_="" ns4:_="">
    <xsd:import namespace="ae715ac5-78ab-4e57-ab8d-71a06eb32b98"/>
    <xsd:import namespace="fd6ab774-e9ec-48f6-87d7-f317e62c46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5ac5-78ab-4e57-ab8d-71a06eb32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ab774-e9ec-48f6-87d7-f317e62c46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E20A7-012F-4A64-B90C-C7D065ACBD44}">
  <ds:schemaRefs>
    <ds:schemaRef ds:uri="http://schemas.openxmlformats.org/officeDocument/2006/bibliography"/>
  </ds:schemaRefs>
</ds:datastoreItem>
</file>

<file path=customXml/itemProps2.xml><?xml version="1.0" encoding="utf-8"?>
<ds:datastoreItem xmlns:ds="http://schemas.openxmlformats.org/officeDocument/2006/customXml" ds:itemID="{7B959F3D-19C0-4F11-B5D8-6F18DAE9238C}">
  <ds:schemaRefs>
    <ds:schemaRef ds:uri="fd6ab774-e9ec-48f6-87d7-f317e62c4660"/>
    <ds:schemaRef ds:uri="http://purl.org/dc/terms/"/>
    <ds:schemaRef ds:uri="http://schemas.microsoft.com/office/2006/documentManagement/types"/>
    <ds:schemaRef ds:uri="ae715ac5-78ab-4e57-ab8d-71a06eb32b98"/>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E208C930-F664-4211-BB07-E83D9531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5ac5-78ab-4e57-ab8d-71a06eb32b98"/>
    <ds:schemaRef ds:uri="fd6ab774-e9ec-48f6-87d7-f317e62c4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40EB6-DAE1-409E-8BB0-86FB70BA6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Metropolitan Public Defender</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"dsmith"</dc:creator>
  <cp:lastModifiedBy>Keiler Beers</cp:lastModifiedBy>
  <cp:revision>3</cp:revision>
  <cp:lastPrinted>2025-07-08T22:59:00Z</cp:lastPrinted>
  <dcterms:created xsi:type="dcterms:W3CDTF">2025-07-09T22:10:00Z</dcterms:created>
  <dcterms:modified xsi:type="dcterms:W3CDTF">2025-07-09T22:11:00Z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0x010100F6D2CF38F3EC0F4C9F68475E619B21D3</vt:lpwstr>
  </property>
</Properties>
</file>