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280CBA" w:rsidR="00953B0B" w:rsidP="00953B0B" w:rsidRDefault="00953B0B" w14:paraId="6AC1CA6C" wp14:textId="77777777">
      <w:pPr>
        <w:spacing w:after="200" w:line="276" w:lineRule="auto"/>
        <w:jc w:val="center"/>
        <w:rPr>
          <w:rFonts w:ascii="Calibri" w:hAnsi="Calibri" w:cs="Calibri"/>
          <w:b/>
          <w:smallCaps/>
          <w:color w:val="D02320"/>
          <w:sz w:val="32"/>
          <w:szCs w:val="24"/>
        </w:rPr>
      </w:pPr>
      <w:r w:rsidRPr="00280CBA">
        <w:rPr>
          <w:rFonts w:ascii="Calibri" w:hAnsi="Calibri" w:cs="Calibri"/>
          <w:b/>
          <w:smallCaps/>
          <w:color w:val="D02320"/>
          <w:sz w:val="32"/>
          <w:szCs w:val="24"/>
        </w:rPr>
        <w:t>Sample Memorandum in Support of Motion to Suppress Identification</w:t>
      </w:r>
    </w:p>
    <w:p xmlns:wp14="http://schemas.microsoft.com/office/word/2010/wordml" w:rsidRPr="001A75B9" w:rsidR="00953B0B" w:rsidP="00953B0B" w:rsidRDefault="00953B0B" w14:paraId="672A6659" wp14:textId="77777777">
      <w:pPr>
        <w:spacing w:after="200" w:line="276" w:lineRule="auto"/>
        <w:jc w:val="center"/>
        <w:rPr>
          <w:szCs w:val="24"/>
        </w:rPr>
      </w:pPr>
    </w:p>
    <w:p xmlns:wp14="http://schemas.microsoft.com/office/word/2010/wordml" w:rsidRPr="00AF2136" w:rsidR="00953B0B" w:rsidP="00953B0B" w:rsidRDefault="00953B0B" w14:paraId="01B53CF8" wp14:textId="77777777">
      <w:pPr>
        <w:spacing w:after="200" w:line="276" w:lineRule="auto"/>
        <w:rPr>
          <w:i/>
          <w:szCs w:val="24"/>
        </w:rPr>
      </w:pPr>
      <w:r w:rsidRPr="00EB067C">
        <w:rPr>
          <w:i/>
          <w:szCs w:val="24"/>
        </w:rPr>
        <w:t xml:space="preserve">This is not a perfect memorandum, but merely offered as a sample. </w:t>
      </w:r>
      <w:r w:rsidRPr="00AF2136">
        <w:rPr>
          <w:i/>
          <w:szCs w:val="24"/>
        </w:rPr>
        <w:t>Please note the strategic considerations involved in drafting this memorandum.</w:t>
      </w:r>
      <w:r>
        <w:rPr>
          <w:i/>
          <w:szCs w:val="24"/>
        </w:rPr>
        <w:t xml:space="preserve"> </w:t>
      </w:r>
      <w:r w:rsidRPr="00AF2136">
        <w:rPr>
          <w:i/>
          <w:szCs w:val="24"/>
        </w:rPr>
        <w:t>Not every fact and argument set forth in the oral argument will be included in the written memorandum</w:t>
      </w:r>
      <w:r>
        <w:rPr>
          <w:i/>
          <w:szCs w:val="24"/>
        </w:rPr>
        <w:t>,</w:t>
      </w:r>
      <w:r w:rsidRPr="00AF2136">
        <w:rPr>
          <w:i/>
          <w:szCs w:val="24"/>
        </w:rPr>
        <w:t xml:space="preserve"> as the defender should not preview any facts the government can fix or manipulate to its advantage. </w:t>
      </w:r>
    </w:p>
    <w:p xmlns:wp14="http://schemas.microsoft.com/office/word/2010/wordml" w:rsidRPr="00AF2136" w:rsidR="00953B0B" w:rsidP="00953B0B" w:rsidRDefault="00953B0B" w14:paraId="0A37501D" wp14:textId="77777777">
      <w:pPr>
        <w:jc w:val="center"/>
        <w:rPr>
          <w:b/>
          <w:szCs w:val="24"/>
        </w:rPr>
      </w:pPr>
    </w:p>
    <w:p xmlns:wp14="http://schemas.microsoft.com/office/word/2010/wordml" w:rsidRPr="005633B5" w:rsidR="00953B0B" w:rsidP="00953B0B" w:rsidRDefault="00953B0B" w14:paraId="13E149FB" wp14:textId="77777777">
      <w:pPr>
        <w:jc w:val="center"/>
        <w:rPr>
          <w:b/>
          <w:szCs w:val="24"/>
        </w:rPr>
      </w:pPr>
      <w:r w:rsidRPr="005633B5">
        <w:rPr>
          <w:b/>
          <w:szCs w:val="24"/>
        </w:rPr>
        <w:t>SUPERIOR COURT</w:t>
      </w:r>
    </w:p>
    <w:p xmlns:wp14="http://schemas.microsoft.com/office/word/2010/wordml" w:rsidRPr="00227E62" w:rsidR="00953B0B" w:rsidP="00953B0B" w:rsidRDefault="00953B0B" w14:paraId="0F29BEBA" wp14:textId="77777777">
      <w:pPr>
        <w:jc w:val="center"/>
        <w:rPr>
          <w:b/>
          <w:szCs w:val="24"/>
        </w:rPr>
      </w:pPr>
      <w:r>
        <w:rPr>
          <w:b/>
          <w:szCs w:val="24"/>
        </w:rPr>
        <w:t>Family Division –</w:t>
      </w:r>
      <w:r w:rsidRPr="00227E62">
        <w:rPr>
          <w:b/>
          <w:szCs w:val="24"/>
        </w:rPr>
        <w:t xml:space="preserve"> Juvenile Branch</w:t>
      </w:r>
    </w:p>
    <w:p xmlns:wp14="http://schemas.microsoft.com/office/word/2010/wordml" w:rsidRPr="00C649FF" w:rsidR="00953B0B" w:rsidP="00953B0B" w:rsidRDefault="00953B0B" w14:paraId="5DAB6C7B" wp14:textId="77777777">
      <w:pPr>
        <w:rPr>
          <w:b/>
          <w:szCs w:val="24"/>
        </w:rPr>
      </w:pPr>
    </w:p>
    <w:p xmlns:wp14="http://schemas.microsoft.com/office/word/2010/wordml" w:rsidRPr="00C649FF" w:rsidR="00953B0B" w:rsidP="00953B0B" w:rsidRDefault="00953B0B" w14:paraId="02EB378F" wp14:textId="77777777">
      <w:pPr>
        <w:rPr>
          <w:b/>
          <w:szCs w:val="24"/>
        </w:rPr>
      </w:pPr>
    </w:p>
    <w:p xmlns:wp14="http://schemas.microsoft.com/office/word/2010/wordml" w:rsidRPr="00D460A8" w:rsidR="00953B0B" w:rsidP="00953B0B" w:rsidRDefault="00953B0B" w14:paraId="01D837E2" wp14:textId="77777777">
      <w:pPr>
        <w:tabs>
          <w:tab w:val="left" w:pos="4320"/>
          <w:tab w:val="left" w:pos="5760"/>
        </w:tabs>
        <w:rPr>
          <w:b/>
          <w:szCs w:val="24"/>
        </w:rPr>
      </w:pPr>
      <w:r w:rsidRPr="00D460A8">
        <w:rPr>
          <w:b/>
          <w:szCs w:val="24"/>
        </w:rPr>
        <w:t>In the Matter of</w:t>
      </w:r>
      <w:r w:rsidRPr="00D460A8">
        <w:rPr>
          <w:b/>
          <w:szCs w:val="24"/>
        </w:rPr>
        <w:tab/>
      </w:r>
      <w:r w:rsidRPr="00D460A8">
        <w:rPr>
          <w:b/>
          <w:szCs w:val="24"/>
        </w:rPr>
        <w:t>:</w:t>
      </w:r>
      <w:r w:rsidRPr="00D460A8">
        <w:rPr>
          <w:b/>
          <w:szCs w:val="24"/>
        </w:rPr>
        <w:tab/>
      </w:r>
      <w:r w:rsidRPr="00D460A8">
        <w:rPr>
          <w:b/>
          <w:szCs w:val="24"/>
        </w:rPr>
        <w:t>Docket No. 2010-DEL-000285</w:t>
      </w:r>
    </w:p>
    <w:p xmlns:wp14="http://schemas.microsoft.com/office/word/2010/wordml" w:rsidRPr="00D460A8" w:rsidR="00953B0B" w:rsidP="00953B0B" w:rsidRDefault="00953B0B" w14:paraId="06208C9B" wp14:textId="77777777">
      <w:pPr>
        <w:tabs>
          <w:tab w:val="left" w:pos="4320"/>
          <w:tab w:val="left" w:pos="5760"/>
        </w:tabs>
        <w:rPr>
          <w:b/>
          <w:szCs w:val="24"/>
        </w:rPr>
      </w:pPr>
      <w:r w:rsidRPr="00D460A8">
        <w:rPr>
          <w:b/>
          <w:szCs w:val="24"/>
        </w:rPr>
        <w:tab/>
      </w:r>
      <w:r w:rsidRPr="00D460A8">
        <w:rPr>
          <w:b/>
          <w:szCs w:val="24"/>
        </w:rPr>
        <w:t>:</w:t>
      </w:r>
      <w:r w:rsidRPr="00D460A8">
        <w:rPr>
          <w:b/>
          <w:szCs w:val="24"/>
        </w:rPr>
        <w:tab/>
      </w:r>
      <w:r w:rsidRPr="00D460A8">
        <w:rPr>
          <w:b/>
          <w:szCs w:val="24"/>
        </w:rPr>
        <w:t>Social File No. 09-JSF-12</w:t>
      </w:r>
    </w:p>
    <w:p xmlns:wp14="http://schemas.microsoft.com/office/word/2010/wordml" w:rsidRPr="00AF2136" w:rsidR="00953B0B" w:rsidP="00953B0B" w:rsidRDefault="00953B0B" w14:paraId="64D225C8" wp14:textId="77777777">
      <w:pPr>
        <w:tabs>
          <w:tab w:val="left" w:pos="4320"/>
          <w:tab w:val="left" w:pos="5760"/>
        </w:tabs>
        <w:rPr>
          <w:b/>
          <w:szCs w:val="24"/>
        </w:rPr>
      </w:pPr>
      <w:r w:rsidRPr="00AF2136">
        <w:rPr>
          <w:b/>
          <w:szCs w:val="24"/>
        </w:rPr>
        <w:t>KEVIN FRAZIER,</w:t>
      </w:r>
      <w:r w:rsidRPr="00AF2136">
        <w:rPr>
          <w:b/>
          <w:szCs w:val="24"/>
        </w:rPr>
        <w:tab/>
      </w:r>
      <w:r w:rsidRPr="00AF2136">
        <w:rPr>
          <w:b/>
          <w:szCs w:val="24"/>
        </w:rPr>
        <w:t>:</w:t>
      </w:r>
      <w:r w:rsidRPr="00AF2136">
        <w:rPr>
          <w:b/>
          <w:szCs w:val="24"/>
        </w:rPr>
        <w:tab/>
      </w:r>
      <w:r w:rsidRPr="00AF2136">
        <w:rPr>
          <w:b/>
          <w:szCs w:val="24"/>
        </w:rPr>
        <w:t>Hon. Judge Jones</w:t>
      </w:r>
    </w:p>
    <w:p xmlns:wp14="http://schemas.microsoft.com/office/word/2010/wordml" w:rsidRPr="00AF2136" w:rsidR="00953B0B" w:rsidP="00953B0B" w:rsidRDefault="00953B0B" w14:paraId="3E5ADC62" wp14:textId="77777777">
      <w:pPr>
        <w:tabs>
          <w:tab w:val="left" w:pos="4320"/>
          <w:tab w:val="left" w:pos="8064"/>
        </w:tabs>
        <w:rPr>
          <w:b/>
          <w:szCs w:val="24"/>
        </w:rPr>
      </w:pPr>
      <w:r w:rsidRPr="00AF2136">
        <w:rPr>
          <w:b/>
          <w:szCs w:val="24"/>
        </w:rPr>
        <w:tab/>
      </w:r>
      <w:r w:rsidRPr="00AF2136">
        <w:rPr>
          <w:b/>
          <w:szCs w:val="24"/>
        </w:rPr>
        <w:t>:</w:t>
      </w:r>
      <w:r>
        <w:rPr>
          <w:b/>
          <w:szCs w:val="24"/>
        </w:rPr>
        <w:t xml:space="preserve"> </w:t>
      </w:r>
      <w:r w:rsidRPr="00AF2136">
        <w:rPr>
          <w:b/>
          <w:szCs w:val="24"/>
        </w:rPr>
        <w:t xml:space="preserve">              </w:t>
      </w:r>
      <w:r>
        <w:rPr>
          <w:b/>
          <w:szCs w:val="24"/>
        </w:rPr>
        <w:t xml:space="preserve">        </w:t>
      </w:r>
      <w:r w:rsidR="00AE64A3">
        <w:rPr>
          <w:b/>
          <w:szCs w:val="24"/>
        </w:rPr>
        <w:t>Trial Date: __________</w:t>
      </w:r>
    </w:p>
    <w:p xmlns:wp14="http://schemas.microsoft.com/office/word/2010/wordml" w:rsidRPr="00AF2136" w:rsidR="00953B0B" w:rsidP="00953B0B" w:rsidRDefault="00953B0B" w14:paraId="51AFC4BA" wp14:textId="77777777">
      <w:pPr>
        <w:tabs>
          <w:tab w:val="left" w:pos="4320"/>
          <w:tab w:val="left" w:pos="8064"/>
        </w:tabs>
        <w:rPr>
          <w:b/>
          <w:szCs w:val="24"/>
        </w:rPr>
      </w:pPr>
      <w:r w:rsidRPr="00AF2136">
        <w:rPr>
          <w:b/>
          <w:szCs w:val="24"/>
        </w:rPr>
        <w:t>Youth</w:t>
      </w:r>
      <w:r w:rsidRPr="00AF2136">
        <w:rPr>
          <w:b/>
          <w:szCs w:val="24"/>
        </w:rPr>
        <w:tab/>
      </w:r>
      <w:r w:rsidRPr="00AF2136">
        <w:rPr>
          <w:b/>
          <w:szCs w:val="24"/>
        </w:rPr>
        <w:t>:</w:t>
      </w:r>
      <w:r w:rsidRPr="00AF2136">
        <w:rPr>
          <w:b/>
          <w:szCs w:val="24"/>
        </w:rPr>
        <w:tab/>
      </w:r>
    </w:p>
    <w:p xmlns:wp14="http://schemas.microsoft.com/office/word/2010/wordml" w:rsidRPr="00AF2136" w:rsidR="00953B0B" w:rsidP="00953B0B" w:rsidRDefault="00953B0B" w14:paraId="6A05A809" wp14:textId="77777777">
      <w:pPr>
        <w:rPr>
          <w:b/>
          <w:szCs w:val="24"/>
        </w:rPr>
      </w:pPr>
    </w:p>
    <w:p xmlns:wp14="http://schemas.microsoft.com/office/word/2010/wordml" w:rsidRPr="00AF2136" w:rsidR="00953B0B" w:rsidP="00953B0B" w:rsidRDefault="00953B0B" w14:paraId="5A39BBE3" wp14:textId="77777777">
      <w:pPr>
        <w:rPr>
          <w:b/>
          <w:szCs w:val="24"/>
        </w:rPr>
      </w:pPr>
    </w:p>
    <w:p xmlns:wp14="http://schemas.microsoft.com/office/word/2010/wordml" w:rsidRPr="00C24B34" w:rsidR="00953B0B" w:rsidP="00953B0B" w:rsidRDefault="00953B0B" w14:paraId="3EC5C757" wp14:textId="77777777">
      <w:pPr>
        <w:jc w:val="center"/>
        <w:rPr>
          <w:b/>
          <w:szCs w:val="24"/>
          <w:u w:val="single"/>
        </w:rPr>
      </w:pPr>
      <w:r w:rsidRPr="00C24B34">
        <w:rPr>
          <w:b/>
          <w:szCs w:val="24"/>
          <w:u w:val="single"/>
        </w:rPr>
        <w:t>MEMORANDUM OF POINTS AND AUTHORITIES IN SUPPORT OF</w:t>
      </w:r>
    </w:p>
    <w:p xmlns:wp14="http://schemas.microsoft.com/office/word/2010/wordml" w:rsidRPr="00AF2136" w:rsidR="00953B0B" w:rsidP="00953B0B" w:rsidRDefault="00953B0B" w14:paraId="41EA9F81" wp14:textId="77777777">
      <w:pPr>
        <w:jc w:val="center"/>
        <w:rPr>
          <w:b/>
          <w:szCs w:val="24"/>
          <w:u w:val="single"/>
        </w:rPr>
      </w:pPr>
      <w:r w:rsidRPr="00AF2136">
        <w:rPr>
          <w:b/>
          <w:szCs w:val="24"/>
          <w:u w:val="single"/>
        </w:rPr>
        <w:t>MOTION TO SUPPRESS TANGIBLE EVIDENCE AND IDENTIFICATION TESTIMONY</w:t>
      </w:r>
    </w:p>
    <w:p xmlns:wp14="http://schemas.microsoft.com/office/word/2010/wordml" w:rsidRPr="00AF2136" w:rsidR="00953B0B" w:rsidP="00953B0B" w:rsidRDefault="00953B0B" w14:paraId="41C8F396" wp14:textId="77777777">
      <w:pPr>
        <w:rPr>
          <w:szCs w:val="24"/>
          <w:u w:val="single"/>
        </w:rPr>
      </w:pPr>
    </w:p>
    <w:p xmlns:wp14="http://schemas.microsoft.com/office/word/2010/wordml" w:rsidRPr="00AF2136" w:rsidR="00953B0B" w:rsidP="00953B0B" w:rsidRDefault="00953B0B" w14:paraId="72A3D3EC" wp14:textId="77777777">
      <w:pPr>
        <w:rPr>
          <w:szCs w:val="24"/>
          <w:u w:val="single"/>
        </w:rPr>
      </w:pPr>
    </w:p>
    <w:p xmlns:wp14="http://schemas.microsoft.com/office/word/2010/wordml" w:rsidRPr="00AF2136" w:rsidR="00953B0B" w:rsidP="00953B0B" w:rsidRDefault="00953B0B" w14:paraId="37898462" wp14:textId="77777777">
      <w:pPr>
        <w:numPr>
          <w:ilvl w:val="0"/>
          <w:numId w:val="3"/>
        </w:numPr>
        <w:ind w:hanging="720"/>
        <w:rPr>
          <w:b/>
          <w:bCs/>
          <w:szCs w:val="24"/>
        </w:rPr>
      </w:pPr>
      <w:r w:rsidRPr="00AF2136">
        <w:rPr>
          <w:b/>
          <w:bCs/>
          <w:szCs w:val="24"/>
        </w:rPr>
        <w:t>All Tangible Evidence and Identification Testimony Must Be Suppressed Because They Were Obtained in Violation of the Fourth Amendment to</w:t>
      </w:r>
      <w:r w:rsidR="00AE64A3">
        <w:rPr>
          <w:b/>
          <w:bCs/>
          <w:szCs w:val="24"/>
        </w:rPr>
        <w:t xml:space="preserve"> the United States Constitution</w:t>
      </w:r>
    </w:p>
    <w:p xmlns:wp14="http://schemas.microsoft.com/office/word/2010/wordml" w:rsidRPr="00AF2136" w:rsidR="00953B0B" w:rsidP="00953B0B" w:rsidRDefault="00953B0B" w14:paraId="0D0B940D" wp14:textId="77777777">
      <w:pPr>
        <w:ind w:left="720" w:hanging="720"/>
        <w:rPr>
          <w:szCs w:val="24"/>
        </w:rPr>
      </w:pPr>
    </w:p>
    <w:p xmlns:wp14="http://schemas.microsoft.com/office/word/2010/wordml" w:rsidRPr="00AF2136" w:rsidR="00953B0B" w:rsidP="00953B0B" w:rsidRDefault="00953B0B" w14:paraId="3D59F870" wp14:textId="77777777">
      <w:pPr>
        <w:spacing w:line="480" w:lineRule="auto"/>
        <w:ind w:firstLine="720"/>
        <w:rPr>
          <w:szCs w:val="24"/>
        </w:rPr>
      </w:pPr>
      <w:r w:rsidRPr="00AF2136">
        <w:rPr>
          <w:szCs w:val="24"/>
        </w:rPr>
        <w:t>The Fourth Amendment to the United States Constitution protects against unreasonable searches and seizures by the police.</w:t>
      </w:r>
      <w:r>
        <w:rPr>
          <w:szCs w:val="24"/>
        </w:rPr>
        <w:t xml:space="preserve"> </w:t>
      </w:r>
      <w:r w:rsidRPr="00AF2136">
        <w:rPr>
          <w:szCs w:val="24"/>
        </w:rPr>
        <w:t>Warrantless searches and seizures are presumptively unreasonable.</w:t>
      </w:r>
      <w:r>
        <w:rPr>
          <w:szCs w:val="24"/>
        </w:rPr>
        <w:t xml:space="preserve"> </w:t>
      </w:r>
      <w:r w:rsidRPr="00861819">
        <w:rPr>
          <w:i/>
          <w:szCs w:val="24"/>
        </w:rPr>
        <w:t>See Katz v. United States</w:t>
      </w:r>
      <w:r w:rsidRPr="00AF2136">
        <w:rPr>
          <w:szCs w:val="24"/>
        </w:rPr>
        <w:t>, 389 U.S. 347, 357 (1967).</w:t>
      </w:r>
      <w:r>
        <w:rPr>
          <w:szCs w:val="24"/>
        </w:rPr>
        <w:t xml:space="preserve"> </w:t>
      </w:r>
      <w:r w:rsidRPr="00AF2136">
        <w:rPr>
          <w:szCs w:val="24"/>
        </w:rPr>
        <w:t>There are few exceptions to this time-honored rule.</w:t>
      </w:r>
      <w:r>
        <w:rPr>
          <w:szCs w:val="24"/>
        </w:rPr>
        <w:t xml:space="preserve"> </w:t>
      </w:r>
      <w:r w:rsidRPr="00861819">
        <w:rPr>
          <w:i/>
          <w:szCs w:val="24"/>
        </w:rPr>
        <w:t>See id.</w:t>
      </w:r>
      <w:r w:rsidRPr="00861819">
        <w:rPr>
          <w:szCs w:val="24"/>
        </w:rPr>
        <w:t xml:space="preserve"> </w:t>
      </w:r>
      <w:r w:rsidRPr="00AF2136">
        <w:rPr>
          <w:szCs w:val="24"/>
        </w:rPr>
        <w:t>When a person is seized without a warrant, the government bears the burden of proving the propriety of the seizure before it may use any evidence resulting from the seizure at tria</w:t>
      </w:r>
      <w:bookmarkStart w:name="_GoBack" w:id="0"/>
      <w:bookmarkEnd w:id="0"/>
      <w:r w:rsidRPr="00AF2136">
        <w:rPr>
          <w:szCs w:val="24"/>
        </w:rPr>
        <w:t>l.</w:t>
      </w:r>
      <w:r>
        <w:rPr>
          <w:szCs w:val="24"/>
        </w:rPr>
        <w:t xml:space="preserve"> </w:t>
      </w:r>
      <w:r w:rsidRPr="00861819">
        <w:rPr>
          <w:i/>
          <w:szCs w:val="24"/>
        </w:rPr>
        <w:t>See Malcolm v. United States</w:t>
      </w:r>
      <w:r w:rsidRPr="00AF2136">
        <w:rPr>
          <w:szCs w:val="24"/>
        </w:rPr>
        <w:t xml:space="preserve">, 332 A.2d 917, 918 (D.C. 1975); </w:t>
      </w:r>
      <w:r w:rsidRPr="00861819">
        <w:rPr>
          <w:i/>
          <w:szCs w:val="24"/>
        </w:rPr>
        <w:t>see also</w:t>
      </w:r>
      <w:r w:rsidRPr="00AF2136">
        <w:rPr>
          <w:szCs w:val="24"/>
          <w:u w:val="single"/>
        </w:rPr>
        <w:t xml:space="preserve"> </w:t>
      </w:r>
      <w:r w:rsidRPr="00861819">
        <w:rPr>
          <w:i/>
          <w:szCs w:val="24"/>
        </w:rPr>
        <w:t>Brown v. Illinois</w:t>
      </w:r>
      <w:r w:rsidRPr="00AF2136">
        <w:rPr>
          <w:szCs w:val="24"/>
        </w:rPr>
        <w:t>, 422 U.S. 590 (1975).</w:t>
      </w:r>
      <w:r>
        <w:rPr>
          <w:szCs w:val="24"/>
        </w:rPr>
        <w:t xml:space="preserve"> </w:t>
      </w:r>
      <w:r w:rsidRPr="00AF2136">
        <w:rPr>
          <w:szCs w:val="24"/>
        </w:rPr>
        <w:t>An evidentiary hearing will show that the government cannot satisfy its burden in the present case.</w:t>
      </w:r>
    </w:p>
    <w:p xmlns:wp14="http://schemas.microsoft.com/office/word/2010/wordml" w:rsidRPr="00AF2136" w:rsidR="00953B0B" w:rsidP="00953B0B" w:rsidRDefault="00953B0B" w14:paraId="79246D30" wp14:textId="77777777">
      <w:pPr>
        <w:numPr>
          <w:ilvl w:val="0"/>
          <w:numId w:val="1"/>
        </w:numPr>
        <w:spacing w:line="480" w:lineRule="auto"/>
        <w:rPr>
          <w:b/>
          <w:szCs w:val="24"/>
        </w:rPr>
      </w:pPr>
      <w:r w:rsidRPr="00AF2136">
        <w:rPr>
          <w:b/>
          <w:szCs w:val="24"/>
        </w:rPr>
        <w:t xml:space="preserve">Kevin’s seizure by the police </w:t>
      </w:r>
      <w:r w:rsidR="00861819">
        <w:rPr>
          <w:b/>
          <w:szCs w:val="24"/>
        </w:rPr>
        <w:t>constituted an arrest</w:t>
      </w:r>
    </w:p>
    <w:p xmlns:wp14="http://schemas.microsoft.com/office/word/2010/wordml" w:rsidRPr="00AF2136" w:rsidR="00953B0B" w:rsidP="00953B0B" w:rsidRDefault="00953B0B" w14:paraId="38B9EEE9" wp14:textId="77777777">
      <w:pPr>
        <w:spacing w:line="480" w:lineRule="auto"/>
        <w:ind w:firstLine="720"/>
        <w:rPr>
          <w:szCs w:val="24"/>
        </w:rPr>
      </w:pPr>
      <w:r w:rsidRPr="00AF2136">
        <w:rPr>
          <w:szCs w:val="24"/>
        </w:rPr>
        <w:t>Kevin was seized by the police, without a warrant, when he was handcuffed and placed in the back seat of a police cruiser at or near the intersection of Nannie Helen Burroughs and Kenilworth Avenue, NE. A person has been seized within the meaning of the Fourth Amendment if, in view of all circumstances, a reasonable person in the same situation would not have believed he was free to leave.</w:t>
      </w:r>
      <w:r>
        <w:rPr>
          <w:szCs w:val="24"/>
        </w:rPr>
        <w:t xml:space="preserve"> </w:t>
      </w:r>
      <w:r w:rsidRPr="00861819">
        <w:rPr>
          <w:i/>
          <w:szCs w:val="24"/>
        </w:rPr>
        <w:t>United States v. Mendenhall</w:t>
      </w:r>
      <w:r w:rsidRPr="00AF2136">
        <w:rPr>
          <w:szCs w:val="24"/>
        </w:rPr>
        <w:t xml:space="preserve">, 446 U.S. 544, 554 (1980); </w:t>
      </w:r>
      <w:r w:rsidRPr="00861819">
        <w:rPr>
          <w:i/>
          <w:szCs w:val="24"/>
        </w:rPr>
        <w:t>see Terry v. Ohio</w:t>
      </w:r>
      <w:r w:rsidRPr="00AF2136">
        <w:rPr>
          <w:szCs w:val="24"/>
        </w:rPr>
        <w:t>, 392 U.S. 1, 16 (1968).</w:t>
      </w:r>
      <w:r>
        <w:rPr>
          <w:szCs w:val="24"/>
        </w:rPr>
        <w:t xml:space="preserve"> </w:t>
      </w:r>
      <w:r w:rsidRPr="00AF2136">
        <w:rPr>
          <w:szCs w:val="24"/>
        </w:rPr>
        <w:t>Further, a “person is seized by the police and thus entitled to challenge the government’s action under the Fourth Amendment when the officer, by means of physical force or show of authority, terminates or restr</w:t>
      </w:r>
      <w:r>
        <w:rPr>
          <w:szCs w:val="24"/>
        </w:rPr>
        <w:t xml:space="preserve">ains his freedom of movement.” </w:t>
      </w:r>
      <w:proofErr w:type="spellStart"/>
      <w:r w:rsidRPr="00861819">
        <w:rPr>
          <w:i/>
          <w:szCs w:val="24"/>
        </w:rPr>
        <w:t>Brendlin</w:t>
      </w:r>
      <w:proofErr w:type="spellEnd"/>
      <w:r w:rsidRPr="00861819">
        <w:rPr>
          <w:i/>
          <w:szCs w:val="24"/>
        </w:rPr>
        <w:t xml:space="preserve"> v. California</w:t>
      </w:r>
      <w:r w:rsidRPr="00AF2136">
        <w:rPr>
          <w:szCs w:val="24"/>
        </w:rPr>
        <w:t>, 551 U.S. 249, 254 (2007).</w:t>
      </w:r>
      <w:r>
        <w:rPr>
          <w:szCs w:val="24"/>
        </w:rPr>
        <w:t xml:space="preserve"> </w:t>
      </w:r>
    </w:p>
    <w:p xmlns:wp14="http://schemas.microsoft.com/office/word/2010/wordml" w:rsidRPr="00AF2136" w:rsidR="00953B0B" w:rsidP="00953B0B" w:rsidRDefault="00953B0B" w14:paraId="6B367462" wp14:textId="77777777">
      <w:pPr>
        <w:spacing w:line="480" w:lineRule="auto"/>
        <w:ind w:firstLine="720"/>
        <w:rPr>
          <w:szCs w:val="24"/>
        </w:rPr>
      </w:pPr>
      <w:r w:rsidRPr="00AF2136">
        <w:rPr>
          <w:szCs w:val="24"/>
        </w:rPr>
        <w:t>The seizure in this case rose to the level of an arrest under the Fourth Amendment.</w:t>
      </w:r>
      <w:r>
        <w:rPr>
          <w:szCs w:val="24"/>
        </w:rPr>
        <w:t xml:space="preserve"> </w:t>
      </w:r>
      <w:r w:rsidRPr="00861819">
        <w:rPr>
          <w:i/>
          <w:szCs w:val="24"/>
        </w:rPr>
        <w:t>See Dunaway v. New York</w:t>
      </w:r>
      <w:r w:rsidRPr="00AF2136">
        <w:rPr>
          <w:szCs w:val="24"/>
        </w:rPr>
        <w:t>, 442 U.S. 200, 208-09 (1979). Kevin was handcuffed, searched, placed in the back seat of the police car, transported</w:t>
      </w:r>
      <w:r>
        <w:rPr>
          <w:szCs w:val="24"/>
        </w:rPr>
        <w:t xml:space="preserve"> to the crime scene, questioned</w:t>
      </w:r>
      <w:r w:rsidR="00861819">
        <w:rPr>
          <w:szCs w:val="24"/>
        </w:rPr>
        <w:t>,</w:t>
      </w:r>
      <w:r w:rsidRPr="00AF2136">
        <w:rPr>
          <w:szCs w:val="24"/>
        </w:rPr>
        <w:t xml:space="preserve"> and held in the police car before the identification was performed.</w:t>
      </w:r>
      <w:r>
        <w:rPr>
          <w:szCs w:val="24"/>
        </w:rPr>
        <w:t xml:space="preserve"> </w:t>
      </w:r>
      <w:r w:rsidRPr="00AF2136">
        <w:rPr>
          <w:szCs w:val="24"/>
        </w:rPr>
        <w:t>This extensive and prolonged intrusion constitutes an arrest.</w:t>
      </w:r>
      <w:r>
        <w:rPr>
          <w:szCs w:val="24"/>
        </w:rPr>
        <w:t xml:space="preserve"> </w:t>
      </w:r>
      <w:r w:rsidRPr="00861819">
        <w:rPr>
          <w:i/>
          <w:szCs w:val="24"/>
        </w:rPr>
        <w:t xml:space="preserve">See United States v. </w:t>
      </w:r>
      <w:proofErr w:type="spellStart"/>
      <w:r w:rsidRPr="00861819">
        <w:rPr>
          <w:i/>
          <w:szCs w:val="24"/>
        </w:rPr>
        <w:t>Purry</w:t>
      </w:r>
      <w:proofErr w:type="spellEnd"/>
      <w:r w:rsidRPr="00AF2136">
        <w:rPr>
          <w:szCs w:val="24"/>
        </w:rPr>
        <w:t xml:space="preserve">, 545 F.2d 217, 220 (D.C. 1976). </w:t>
      </w:r>
    </w:p>
    <w:p xmlns:wp14="http://schemas.microsoft.com/office/word/2010/wordml" w:rsidR="00953B0B" w:rsidP="00AE64A3" w:rsidRDefault="00953B0B" w14:paraId="455DA96D" wp14:textId="77777777">
      <w:pPr>
        <w:numPr>
          <w:ilvl w:val="0"/>
          <w:numId w:val="1"/>
        </w:numPr>
        <w:contextualSpacing/>
        <w:rPr>
          <w:b/>
          <w:szCs w:val="24"/>
        </w:rPr>
      </w:pPr>
      <w:r w:rsidRPr="00AF2136">
        <w:rPr>
          <w:b/>
          <w:szCs w:val="24"/>
        </w:rPr>
        <w:t>The police lacked both probable cause and reasonable articulable s</w:t>
      </w:r>
      <w:r w:rsidR="00AE64A3">
        <w:rPr>
          <w:b/>
          <w:szCs w:val="24"/>
        </w:rPr>
        <w:t>uspicion when they seized Kevin</w:t>
      </w:r>
    </w:p>
    <w:p xmlns:wp14="http://schemas.microsoft.com/office/word/2010/wordml" w:rsidRPr="00AF2136" w:rsidR="00AE64A3" w:rsidP="00AE64A3" w:rsidRDefault="00AE64A3" w14:paraId="0E27B00A" wp14:textId="77777777">
      <w:pPr>
        <w:ind w:left="1080"/>
        <w:contextualSpacing/>
        <w:rPr>
          <w:b/>
          <w:szCs w:val="24"/>
        </w:rPr>
      </w:pPr>
    </w:p>
    <w:p xmlns:wp14="http://schemas.microsoft.com/office/word/2010/wordml" w:rsidRPr="00AF2136" w:rsidR="00953B0B" w:rsidP="00953B0B" w:rsidRDefault="00953B0B" w14:paraId="69B3E63D" wp14:textId="77777777">
      <w:pPr>
        <w:spacing w:line="480" w:lineRule="auto"/>
        <w:ind w:firstLine="720"/>
        <w:rPr>
          <w:szCs w:val="24"/>
        </w:rPr>
      </w:pPr>
      <w:r w:rsidRPr="00AF2136">
        <w:rPr>
          <w:szCs w:val="24"/>
        </w:rPr>
        <w:t xml:space="preserve">The police seized and arrested Kevin without the probable cause required for a legal arrest, </w:t>
      </w:r>
      <w:r w:rsidRPr="00861819">
        <w:rPr>
          <w:i/>
          <w:szCs w:val="24"/>
        </w:rPr>
        <w:t>see, e.g., Dunaway</w:t>
      </w:r>
      <w:r w:rsidRPr="00AF2136">
        <w:rPr>
          <w:szCs w:val="24"/>
        </w:rPr>
        <w:t xml:space="preserve">, 442 U.S. at 208-09, or even the reasonable, articulable suspicion </w:t>
      </w:r>
      <w:r w:rsidRPr="00AF2136">
        <w:rPr>
          <w:szCs w:val="24"/>
        </w:rPr>
        <w:t xml:space="preserve">necessary for a valid stop, </w:t>
      </w:r>
      <w:r w:rsidRPr="00861819">
        <w:rPr>
          <w:i/>
          <w:szCs w:val="24"/>
        </w:rPr>
        <w:t>see, e.g., Terry</w:t>
      </w:r>
      <w:r w:rsidRPr="00AF2136">
        <w:rPr>
          <w:szCs w:val="24"/>
        </w:rPr>
        <w:t xml:space="preserve">, 392 U.S. 1; </w:t>
      </w:r>
      <w:r w:rsidRPr="00861819">
        <w:rPr>
          <w:i/>
          <w:szCs w:val="24"/>
        </w:rPr>
        <w:t>Duckett v. United States</w:t>
      </w:r>
      <w:r w:rsidRPr="00AF2136">
        <w:rPr>
          <w:szCs w:val="24"/>
        </w:rPr>
        <w:t>, 886 A.2d 548, 553 (D.C. 2005)</w:t>
      </w:r>
      <w:r w:rsidRPr="00AF2136">
        <w:rPr>
          <w:rStyle w:val="documentbody"/>
          <w:szCs w:val="24"/>
        </w:rPr>
        <w:t>.</w:t>
      </w:r>
    </w:p>
    <w:p xmlns:wp14="http://schemas.microsoft.com/office/word/2010/wordml" w:rsidRPr="00AF2136" w:rsidR="00953B0B" w:rsidP="00953B0B" w:rsidRDefault="00953B0B" w14:paraId="4162251F" wp14:textId="77777777">
      <w:pPr>
        <w:spacing w:line="480" w:lineRule="auto"/>
        <w:ind w:firstLine="720"/>
        <w:rPr>
          <w:szCs w:val="24"/>
        </w:rPr>
      </w:pPr>
      <w:r w:rsidRPr="00AF2136">
        <w:rPr>
          <w:szCs w:val="24"/>
        </w:rPr>
        <w:t>A vague description that only contains generic description of clothing and race is insufficient to constitute probable cause.</w:t>
      </w:r>
      <w:r>
        <w:rPr>
          <w:szCs w:val="24"/>
        </w:rPr>
        <w:t xml:space="preserve"> </w:t>
      </w:r>
      <w:r w:rsidRPr="00861819">
        <w:rPr>
          <w:i/>
          <w:szCs w:val="24"/>
        </w:rPr>
        <w:t>See Junior v. United States</w:t>
      </w:r>
      <w:r w:rsidR="00F73602">
        <w:rPr>
          <w:szCs w:val="24"/>
        </w:rPr>
        <w:t>, 634 A.2d 411, 420 n.</w:t>
      </w:r>
      <w:r w:rsidRPr="00AF2136">
        <w:rPr>
          <w:szCs w:val="24"/>
        </w:rPr>
        <w:t>22 (D.C. 1993) (holding description of black male with gray and black hair on his face wearing blue and rust striped sweater, blue jeans</w:t>
      </w:r>
      <w:r w:rsidR="005F4CDD">
        <w:rPr>
          <w:szCs w:val="24"/>
        </w:rPr>
        <w:t>,</w:t>
      </w:r>
      <w:r w:rsidRPr="00AF2136">
        <w:rPr>
          <w:szCs w:val="24"/>
        </w:rPr>
        <w:t xml:space="preserve"> and brown boots insufficient for probable cause).</w:t>
      </w:r>
      <w:r>
        <w:rPr>
          <w:szCs w:val="24"/>
        </w:rPr>
        <w:t xml:space="preserve"> </w:t>
      </w:r>
      <w:r w:rsidRPr="00AF2136">
        <w:rPr>
          <w:szCs w:val="24"/>
        </w:rPr>
        <w:t>Likewise, a vague description that only contains generic clothing and race is insufficient to constitute reasonable articulable suspicion.</w:t>
      </w:r>
      <w:r>
        <w:rPr>
          <w:szCs w:val="24"/>
        </w:rPr>
        <w:t xml:space="preserve"> </w:t>
      </w:r>
      <w:r w:rsidRPr="00861819">
        <w:rPr>
          <w:i/>
          <w:szCs w:val="24"/>
        </w:rPr>
        <w:t>See In Re A.S.</w:t>
      </w:r>
      <w:r w:rsidRPr="00AF2136">
        <w:rPr>
          <w:szCs w:val="24"/>
        </w:rPr>
        <w:t xml:space="preserve">, 614 A.2d 534, 542 </w:t>
      </w:r>
      <w:r w:rsidR="005F4CDD">
        <w:rPr>
          <w:szCs w:val="24"/>
        </w:rPr>
        <w:t xml:space="preserve">(D.C. 1992) </w:t>
      </w:r>
      <w:r w:rsidRPr="00AF2136">
        <w:rPr>
          <w:szCs w:val="24"/>
        </w:rPr>
        <w:t xml:space="preserve">(holding description of black male wearing blue jacket, gray sweatshirt, </w:t>
      </w:r>
      <w:r w:rsidR="005F4CDD">
        <w:rPr>
          <w:szCs w:val="24"/>
        </w:rPr>
        <w:t xml:space="preserve">and </w:t>
      </w:r>
      <w:r w:rsidRPr="00AF2136">
        <w:rPr>
          <w:szCs w:val="24"/>
        </w:rPr>
        <w:t>dark jeans with black skull cap insufficient for reasonable articulable suspicion). The description here was vague, containing only generic clothing and race.</w:t>
      </w:r>
      <w:r>
        <w:rPr>
          <w:szCs w:val="24"/>
        </w:rPr>
        <w:t xml:space="preserve"> </w:t>
      </w:r>
      <w:r w:rsidRPr="00AF2136">
        <w:rPr>
          <w:szCs w:val="24"/>
        </w:rPr>
        <w:t>The lookout given was for a black male with a bla</w:t>
      </w:r>
      <w:r>
        <w:rPr>
          <w:szCs w:val="24"/>
        </w:rPr>
        <w:t>ck jacket, rolled up blue jeans</w:t>
      </w:r>
      <w:r w:rsidR="00861819">
        <w:rPr>
          <w:szCs w:val="24"/>
        </w:rPr>
        <w:t>,</w:t>
      </w:r>
      <w:r w:rsidRPr="00AF2136">
        <w:rPr>
          <w:szCs w:val="24"/>
        </w:rPr>
        <w:t xml:space="preserve"> and white tennis shoes.</w:t>
      </w:r>
      <w:r>
        <w:rPr>
          <w:szCs w:val="24"/>
        </w:rPr>
        <w:t xml:space="preserve"> </w:t>
      </w:r>
      <w:r w:rsidRPr="00AF2136">
        <w:rPr>
          <w:szCs w:val="24"/>
        </w:rPr>
        <w:t>The officer did not provide any details about the suspe</w:t>
      </w:r>
      <w:r>
        <w:rPr>
          <w:szCs w:val="24"/>
        </w:rPr>
        <w:t>ct’s age, height, weight, build</w:t>
      </w:r>
      <w:r w:rsidR="00861819">
        <w:rPr>
          <w:szCs w:val="24"/>
        </w:rPr>
        <w:t>,</w:t>
      </w:r>
      <w:r w:rsidRPr="00AF2136">
        <w:rPr>
          <w:szCs w:val="24"/>
        </w:rPr>
        <w:t xml:space="preserve"> or facial features.</w:t>
      </w:r>
      <w:r>
        <w:rPr>
          <w:szCs w:val="24"/>
        </w:rPr>
        <w:t xml:space="preserve"> </w:t>
      </w:r>
      <w:r w:rsidRPr="00861819">
        <w:rPr>
          <w:i/>
          <w:szCs w:val="24"/>
        </w:rPr>
        <w:t xml:space="preserve">See </w:t>
      </w:r>
      <w:r w:rsidR="00861819">
        <w:rPr>
          <w:i/>
          <w:szCs w:val="24"/>
        </w:rPr>
        <w:t>i</w:t>
      </w:r>
      <w:r w:rsidRPr="00861819">
        <w:rPr>
          <w:i/>
          <w:szCs w:val="24"/>
        </w:rPr>
        <w:t>d.</w:t>
      </w:r>
      <w:r w:rsidRPr="00AF2136">
        <w:rPr>
          <w:szCs w:val="24"/>
        </w:rPr>
        <w:t xml:space="preserve"> (finding that an identification should be based on more than just a description of clothing).</w:t>
      </w:r>
      <w:r>
        <w:rPr>
          <w:szCs w:val="24"/>
        </w:rPr>
        <w:t xml:space="preserve"> </w:t>
      </w:r>
      <w:r w:rsidRPr="00AF2136">
        <w:rPr>
          <w:szCs w:val="24"/>
        </w:rPr>
        <w:t>Such a description could match multiple black males of varying ages</w:t>
      </w:r>
      <w:r w:rsidR="00861819">
        <w:rPr>
          <w:szCs w:val="24"/>
        </w:rPr>
        <w:t xml:space="preserve"> in</w:t>
      </w:r>
      <w:r w:rsidRPr="00AF2136">
        <w:rPr>
          <w:szCs w:val="24"/>
        </w:rPr>
        <w:t xml:space="preserve"> the neighborhood.</w:t>
      </w:r>
      <w:r>
        <w:rPr>
          <w:szCs w:val="24"/>
        </w:rPr>
        <w:t xml:space="preserve"> </w:t>
      </w:r>
    </w:p>
    <w:p xmlns:wp14="http://schemas.microsoft.com/office/word/2010/wordml" w:rsidRPr="00AF2136" w:rsidR="00953B0B" w:rsidP="00953B0B" w:rsidRDefault="00953B0B" w14:paraId="340D9284" wp14:textId="77777777">
      <w:pPr>
        <w:spacing w:line="480" w:lineRule="auto"/>
        <w:ind w:firstLine="720"/>
        <w:rPr>
          <w:szCs w:val="24"/>
        </w:rPr>
      </w:pPr>
      <w:r w:rsidRPr="00AF2136">
        <w:rPr>
          <w:szCs w:val="24"/>
        </w:rPr>
        <w:t xml:space="preserve">Moreover, Kevin was stopped </w:t>
      </w:r>
      <w:r>
        <w:rPr>
          <w:szCs w:val="24"/>
        </w:rPr>
        <w:t>40</w:t>
      </w:r>
      <w:r w:rsidRPr="00AF2136">
        <w:rPr>
          <w:szCs w:val="24"/>
        </w:rPr>
        <w:t xml:space="preserve"> minutes after the alleged offense, one mile from the crime scene.</w:t>
      </w:r>
      <w:r>
        <w:rPr>
          <w:szCs w:val="24"/>
        </w:rPr>
        <w:t xml:space="preserve"> </w:t>
      </w:r>
      <w:r w:rsidRPr="00861819">
        <w:rPr>
          <w:i/>
          <w:szCs w:val="24"/>
        </w:rPr>
        <w:t>See Cauthen v. United States</w:t>
      </w:r>
      <w:r w:rsidRPr="00AF2136">
        <w:rPr>
          <w:szCs w:val="24"/>
        </w:rPr>
        <w:t xml:space="preserve">, 592 A.2d 1021, 1023 (D.C. 1991) (finding there was no reasonable articulable suspicion to stop the defendant based on an anonymous tip when there was there was a </w:t>
      </w:r>
      <w:r>
        <w:rPr>
          <w:szCs w:val="24"/>
        </w:rPr>
        <w:t>15-</w:t>
      </w:r>
      <w:r w:rsidRPr="00AF2136">
        <w:rPr>
          <w:szCs w:val="24"/>
        </w:rPr>
        <w:t>minute delay and no description other than the number of suspects).</w:t>
      </w:r>
      <w:r>
        <w:rPr>
          <w:szCs w:val="24"/>
        </w:rPr>
        <w:t xml:space="preserve"> </w:t>
      </w:r>
      <w:r w:rsidRPr="00AF2136">
        <w:rPr>
          <w:szCs w:val="24"/>
        </w:rPr>
        <w:t>A vague description does not justify a seizure close to an hour after the description is given</w:t>
      </w:r>
      <w:r>
        <w:rPr>
          <w:szCs w:val="24"/>
        </w:rPr>
        <w:t>,</w:t>
      </w:r>
      <w:r w:rsidRPr="00AF2136">
        <w:rPr>
          <w:szCs w:val="24"/>
        </w:rPr>
        <w:t xml:space="preserve"> because the vague description no longer ties the suspect to the crime scene.</w:t>
      </w:r>
      <w:r>
        <w:rPr>
          <w:szCs w:val="24"/>
        </w:rPr>
        <w:t xml:space="preserve"> </w:t>
      </w:r>
      <w:r w:rsidRPr="00AF2136">
        <w:rPr>
          <w:szCs w:val="24"/>
        </w:rPr>
        <w:t>Therefore,</w:t>
      </w:r>
      <w:r w:rsidR="00861819">
        <w:rPr>
          <w:szCs w:val="24"/>
        </w:rPr>
        <w:t xml:space="preserve"> as</w:t>
      </w:r>
      <w:r w:rsidRPr="00AF2136">
        <w:rPr>
          <w:szCs w:val="24"/>
        </w:rPr>
        <w:t xml:space="preserve"> the police lacked </w:t>
      </w:r>
      <w:r w:rsidRPr="00AF2136">
        <w:rPr>
          <w:szCs w:val="24"/>
        </w:rPr>
        <w:t>both probable cause and reasonable articulable suspicion</w:t>
      </w:r>
      <w:r w:rsidR="00861819">
        <w:rPr>
          <w:szCs w:val="24"/>
        </w:rPr>
        <w:t>,</w:t>
      </w:r>
      <w:r w:rsidRPr="00AF2136">
        <w:rPr>
          <w:szCs w:val="24"/>
        </w:rPr>
        <w:t xml:space="preserve"> Kevin’s seizure and arrest violated the Fourth Amendment.</w:t>
      </w:r>
    </w:p>
    <w:p xmlns:wp14="http://schemas.microsoft.com/office/word/2010/wordml" w:rsidRPr="00AF2136" w:rsidR="00953B0B" w:rsidP="00953B0B" w:rsidRDefault="00953B0B" w14:paraId="37DF69D3" wp14:textId="77777777">
      <w:pPr>
        <w:numPr>
          <w:ilvl w:val="0"/>
          <w:numId w:val="1"/>
        </w:numPr>
        <w:spacing w:line="480" w:lineRule="auto"/>
        <w:rPr>
          <w:b/>
          <w:szCs w:val="24"/>
        </w:rPr>
      </w:pPr>
      <w:r w:rsidRPr="00AF2136">
        <w:rPr>
          <w:b/>
          <w:szCs w:val="24"/>
        </w:rPr>
        <w:t>All fruits of the Fourth Amendme</w:t>
      </w:r>
      <w:r w:rsidR="00AE64A3">
        <w:rPr>
          <w:b/>
          <w:szCs w:val="24"/>
        </w:rPr>
        <w:t>nt violation must be suppressed</w:t>
      </w:r>
    </w:p>
    <w:p xmlns:wp14="http://schemas.microsoft.com/office/word/2010/wordml" w:rsidRPr="00AF2136" w:rsidR="00953B0B" w:rsidP="00953B0B" w:rsidRDefault="00953B0B" w14:paraId="531E9F90" wp14:textId="77777777">
      <w:pPr>
        <w:numPr>
          <w:ilvl w:val="12"/>
          <w:numId w:val="0"/>
        </w:numPr>
        <w:spacing w:line="480" w:lineRule="auto"/>
        <w:ind w:firstLine="720"/>
        <w:rPr>
          <w:szCs w:val="24"/>
        </w:rPr>
      </w:pPr>
      <w:r w:rsidRPr="00AF2136">
        <w:rPr>
          <w:szCs w:val="24"/>
        </w:rPr>
        <w:t>As a result of Kevin’s unlawful seizure by the police, the police obtained tangible evidence from Kevin and subjected him to an identification procedure.</w:t>
      </w:r>
      <w:r>
        <w:rPr>
          <w:szCs w:val="24"/>
        </w:rPr>
        <w:t xml:space="preserve"> </w:t>
      </w:r>
      <w:r w:rsidRPr="00AF2136">
        <w:rPr>
          <w:szCs w:val="24"/>
        </w:rPr>
        <w:t>When evidence is obtained as a result of a warrantless and unlawful stop, it is considered the “fruit of a poisonous tree” and must be excluded at trial.</w:t>
      </w:r>
      <w:r>
        <w:rPr>
          <w:szCs w:val="24"/>
        </w:rPr>
        <w:t xml:space="preserve"> </w:t>
      </w:r>
      <w:r w:rsidRPr="00861819">
        <w:rPr>
          <w:i/>
          <w:szCs w:val="24"/>
        </w:rPr>
        <w:t>Wong Sun v. United States</w:t>
      </w:r>
      <w:r w:rsidRPr="00AF2136">
        <w:rPr>
          <w:szCs w:val="24"/>
        </w:rPr>
        <w:t>, 371 U.S. 471, 488 (1963).</w:t>
      </w:r>
      <w:r>
        <w:rPr>
          <w:szCs w:val="24"/>
        </w:rPr>
        <w:t xml:space="preserve"> </w:t>
      </w:r>
      <w:r w:rsidRPr="00AF2136">
        <w:rPr>
          <w:szCs w:val="24"/>
        </w:rPr>
        <w:t>This rule applies equally to tangible evidence and identifications.</w:t>
      </w:r>
      <w:r>
        <w:rPr>
          <w:szCs w:val="24"/>
        </w:rPr>
        <w:t xml:space="preserve"> </w:t>
      </w:r>
      <w:r w:rsidRPr="00861819">
        <w:rPr>
          <w:i/>
          <w:szCs w:val="24"/>
        </w:rPr>
        <w:t>See United States v. Crews</w:t>
      </w:r>
      <w:r w:rsidRPr="00AF2136">
        <w:rPr>
          <w:szCs w:val="24"/>
        </w:rPr>
        <w:t xml:space="preserve">, 445 U.S. 463, 470-73 (1980); </w:t>
      </w:r>
      <w:r w:rsidRPr="00861819">
        <w:rPr>
          <w:i/>
          <w:szCs w:val="24"/>
        </w:rPr>
        <w:t>Oliver v. United States</w:t>
      </w:r>
      <w:r w:rsidRPr="00AF2136">
        <w:rPr>
          <w:szCs w:val="24"/>
        </w:rPr>
        <w:t xml:space="preserve">, 656 A.2d 1159, 1172 (D.C. 1995) (citing </w:t>
      </w:r>
      <w:r w:rsidRPr="00861819">
        <w:rPr>
          <w:i/>
          <w:szCs w:val="24"/>
        </w:rPr>
        <w:t>Wong Sun</w:t>
      </w:r>
      <w:r w:rsidRPr="00AF2136">
        <w:rPr>
          <w:szCs w:val="24"/>
        </w:rPr>
        <w:t>, 371</w:t>
      </w:r>
      <w:r w:rsidR="005F4CDD">
        <w:rPr>
          <w:szCs w:val="24"/>
        </w:rPr>
        <w:t xml:space="preserve"> U.S. at 484-86</w:t>
      </w:r>
      <w:r w:rsidRPr="00AF2136">
        <w:rPr>
          <w:szCs w:val="24"/>
        </w:rPr>
        <w:t>).</w:t>
      </w:r>
      <w:r>
        <w:rPr>
          <w:szCs w:val="24"/>
        </w:rPr>
        <w:t xml:space="preserve"> </w:t>
      </w:r>
      <w:r w:rsidRPr="00AF2136">
        <w:rPr>
          <w:szCs w:val="24"/>
        </w:rPr>
        <w:t>In this case, because the police illegally seized Kevin, all tangible evidence and any identification testimony made must be suppressed as the “fruit” of Kevin’s unlawful seizure.</w:t>
      </w:r>
    </w:p>
    <w:p xmlns:wp14="http://schemas.microsoft.com/office/word/2010/wordml" w:rsidRPr="00AF2136" w:rsidR="00953B0B" w:rsidP="00953B0B" w:rsidRDefault="00953B0B" w14:paraId="516B9430" wp14:textId="77777777">
      <w:pPr>
        <w:ind w:left="720" w:hanging="720"/>
        <w:rPr>
          <w:b/>
          <w:bCs/>
          <w:szCs w:val="24"/>
        </w:rPr>
      </w:pPr>
      <w:r w:rsidRPr="00AF2136">
        <w:rPr>
          <w:b/>
          <w:bCs/>
          <w:szCs w:val="24"/>
        </w:rPr>
        <w:t>II.</w:t>
      </w:r>
      <w:r w:rsidRPr="00AF2136">
        <w:rPr>
          <w:b/>
          <w:bCs/>
          <w:szCs w:val="24"/>
        </w:rPr>
        <w:tab/>
      </w:r>
      <w:r w:rsidRPr="00AF2136">
        <w:rPr>
          <w:b/>
          <w:bCs/>
          <w:szCs w:val="24"/>
        </w:rPr>
        <w:t>The Allege</w:t>
      </w:r>
      <w:r>
        <w:rPr>
          <w:b/>
          <w:bCs/>
          <w:szCs w:val="24"/>
        </w:rPr>
        <w:t>d Identification of Kevin Must B</w:t>
      </w:r>
      <w:r w:rsidRPr="00AF2136">
        <w:rPr>
          <w:b/>
          <w:bCs/>
          <w:szCs w:val="24"/>
        </w:rPr>
        <w:t xml:space="preserve">e Suppressed and May Not be </w:t>
      </w:r>
      <w:r>
        <w:rPr>
          <w:b/>
          <w:bCs/>
          <w:szCs w:val="24"/>
        </w:rPr>
        <w:t>Admitted into Evidence Because It W</w:t>
      </w:r>
      <w:r w:rsidRPr="00AF2136">
        <w:rPr>
          <w:b/>
          <w:bCs/>
          <w:szCs w:val="24"/>
        </w:rPr>
        <w:t>as Obtained in Violation of the Due Process Clause of the Fifth and Fourteenth Amendments to the United States Constitution and</w:t>
      </w:r>
      <w:r w:rsidR="00AE64A3">
        <w:rPr>
          <w:b/>
          <w:bCs/>
          <w:szCs w:val="24"/>
        </w:rPr>
        <w:t xml:space="preserve"> Violates the Rules of Evidence</w:t>
      </w:r>
    </w:p>
    <w:p xmlns:wp14="http://schemas.microsoft.com/office/word/2010/wordml" w:rsidRPr="00AF2136" w:rsidR="00953B0B" w:rsidP="00953B0B" w:rsidRDefault="00953B0B" w14:paraId="60061E4C" wp14:textId="77777777">
      <w:pPr>
        <w:ind w:left="720"/>
        <w:rPr>
          <w:szCs w:val="24"/>
        </w:rPr>
      </w:pPr>
    </w:p>
    <w:p xmlns:wp14="http://schemas.microsoft.com/office/word/2010/wordml" w:rsidRPr="00AF2136" w:rsidR="00953B0B" w:rsidP="00953B0B" w:rsidRDefault="00953B0B" w14:paraId="238633BC" wp14:textId="77777777">
      <w:pPr>
        <w:spacing w:line="480" w:lineRule="auto"/>
        <w:ind w:firstLine="720"/>
        <w:rPr>
          <w:szCs w:val="24"/>
        </w:rPr>
      </w:pPr>
      <w:r>
        <w:rPr>
          <w:szCs w:val="24"/>
        </w:rPr>
        <w:t>The Due Process C</w:t>
      </w:r>
      <w:r w:rsidRPr="00AF2136">
        <w:rPr>
          <w:szCs w:val="24"/>
        </w:rPr>
        <w:t>lause of the Fifth and Fourteenth Amendments protects against unreliable identifications.</w:t>
      </w:r>
      <w:r>
        <w:rPr>
          <w:szCs w:val="24"/>
        </w:rPr>
        <w:t xml:space="preserve"> </w:t>
      </w:r>
      <w:r w:rsidRPr="00861819">
        <w:rPr>
          <w:i/>
          <w:szCs w:val="24"/>
        </w:rPr>
        <w:t>See Manson v. Brathwaite</w:t>
      </w:r>
      <w:r w:rsidRPr="00AF2136">
        <w:rPr>
          <w:szCs w:val="24"/>
        </w:rPr>
        <w:t xml:space="preserve">, 432 U.S. 98, 114 (l977), </w:t>
      </w:r>
      <w:r w:rsidRPr="00861819">
        <w:rPr>
          <w:i/>
          <w:szCs w:val="24"/>
        </w:rPr>
        <w:t>Neil v. Biggers</w:t>
      </w:r>
      <w:r w:rsidRPr="00AF2136">
        <w:rPr>
          <w:szCs w:val="24"/>
        </w:rPr>
        <w:t>, 409 U.S. l88, 196 (l972).</w:t>
      </w:r>
      <w:r>
        <w:rPr>
          <w:szCs w:val="24"/>
        </w:rPr>
        <w:t xml:space="preserve"> An </w:t>
      </w:r>
      <w:r w:rsidRPr="00AF2136">
        <w:rPr>
          <w:szCs w:val="24"/>
        </w:rPr>
        <w:t>identification must be suppressed if government action is unduly suggestive and the identification is unreliable.</w:t>
      </w:r>
      <w:r>
        <w:rPr>
          <w:szCs w:val="24"/>
        </w:rPr>
        <w:t xml:space="preserve"> </w:t>
      </w:r>
      <w:r w:rsidRPr="00861819">
        <w:rPr>
          <w:i/>
          <w:szCs w:val="24"/>
        </w:rPr>
        <w:t>Id.</w:t>
      </w:r>
      <w:r w:rsidRPr="00B93BD5">
        <w:rPr>
          <w:szCs w:val="24"/>
        </w:rPr>
        <w:t xml:space="preserve"> </w:t>
      </w:r>
      <w:r w:rsidRPr="00AF2136">
        <w:rPr>
          <w:szCs w:val="24"/>
        </w:rPr>
        <w:t>Furthermore, an identification may not be admitted into evidence if its unreliability defeats its probative value.</w:t>
      </w:r>
      <w:r>
        <w:rPr>
          <w:szCs w:val="24"/>
        </w:rPr>
        <w:t xml:space="preserve"> </w:t>
      </w:r>
      <w:r w:rsidRPr="00861819">
        <w:rPr>
          <w:i/>
          <w:szCs w:val="24"/>
        </w:rPr>
        <w:t>See Beatty v. United States</w:t>
      </w:r>
      <w:r w:rsidRPr="00AF2136">
        <w:rPr>
          <w:szCs w:val="24"/>
        </w:rPr>
        <w:t xml:space="preserve"> 544 A.2d 699, 702 (D.C. 1988).</w:t>
      </w:r>
      <w:r>
        <w:rPr>
          <w:szCs w:val="24"/>
        </w:rPr>
        <w:t xml:space="preserve"> </w:t>
      </w:r>
      <w:r w:rsidRPr="00AF2136">
        <w:rPr>
          <w:szCs w:val="24"/>
        </w:rPr>
        <w:t>In this case the officer briefly viewed the su</w:t>
      </w:r>
      <w:r>
        <w:rPr>
          <w:szCs w:val="24"/>
        </w:rPr>
        <w:t>spect at night, in low lighting</w:t>
      </w:r>
      <w:r w:rsidR="00861819">
        <w:rPr>
          <w:szCs w:val="24"/>
        </w:rPr>
        <w:t>,</w:t>
      </w:r>
      <w:r w:rsidRPr="00AF2136">
        <w:rPr>
          <w:szCs w:val="24"/>
        </w:rPr>
        <w:t xml:space="preserve"> and was only able to give a vague description of the suspect’s clothing and race.</w:t>
      </w:r>
      <w:r>
        <w:rPr>
          <w:szCs w:val="24"/>
        </w:rPr>
        <w:t xml:space="preserve"> </w:t>
      </w:r>
      <w:r w:rsidRPr="00AF2136">
        <w:rPr>
          <w:szCs w:val="24"/>
        </w:rPr>
        <w:t xml:space="preserve">The </w:t>
      </w:r>
      <w:r w:rsidRPr="00AF2136">
        <w:rPr>
          <w:szCs w:val="24"/>
        </w:rPr>
        <w:t>identification was later made at the scene of the offense by the witness, who knew Kevin was the only apprehended suspect, when Kevin was handcuffed in the back seat of a police car.</w:t>
      </w:r>
    </w:p>
    <w:p xmlns:wp14="http://schemas.microsoft.com/office/word/2010/wordml" w:rsidRPr="00AF2136" w:rsidR="00953B0B" w:rsidP="00953B0B" w:rsidRDefault="00953B0B" w14:paraId="3951B71B" wp14:textId="77777777">
      <w:pPr>
        <w:ind w:left="1440" w:hanging="720"/>
        <w:rPr>
          <w:b/>
          <w:szCs w:val="24"/>
        </w:rPr>
      </w:pPr>
      <w:r w:rsidRPr="00AF2136">
        <w:rPr>
          <w:b/>
          <w:szCs w:val="24"/>
        </w:rPr>
        <w:t>A.</w:t>
      </w:r>
      <w:r w:rsidRPr="00AF2136">
        <w:rPr>
          <w:b/>
          <w:szCs w:val="24"/>
        </w:rPr>
        <w:tab/>
      </w:r>
      <w:r w:rsidRPr="00AF2136">
        <w:rPr>
          <w:b/>
          <w:szCs w:val="24"/>
        </w:rPr>
        <w:t xml:space="preserve">The </w:t>
      </w:r>
      <w:r>
        <w:rPr>
          <w:b/>
          <w:szCs w:val="24"/>
        </w:rPr>
        <w:t>show-up identification violates the Due P</w:t>
      </w:r>
      <w:r w:rsidRPr="00AF2136">
        <w:rPr>
          <w:b/>
          <w:szCs w:val="24"/>
        </w:rPr>
        <w:t xml:space="preserve">rocess </w:t>
      </w:r>
      <w:r>
        <w:rPr>
          <w:b/>
          <w:szCs w:val="24"/>
        </w:rPr>
        <w:t>C</w:t>
      </w:r>
      <w:r w:rsidRPr="00AF2136">
        <w:rPr>
          <w:b/>
          <w:szCs w:val="24"/>
        </w:rPr>
        <w:t>lause of the Fifth and Fourteenth Amendments because it is unduly suggestive and lacks reliability.</w:t>
      </w:r>
    </w:p>
    <w:p xmlns:wp14="http://schemas.microsoft.com/office/word/2010/wordml" w:rsidRPr="00AF2136" w:rsidR="00953B0B" w:rsidP="00953B0B" w:rsidRDefault="00953B0B" w14:paraId="44EAFD9C" wp14:textId="77777777">
      <w:pPr>
        <w:ind w:left="1440" w:hanging="720"/>
        <w:rPr>
          <w:b/>
          <w:szCs w:val="24"/>
        </w:rPr>
      </w:pPr>
    </w:p>
    <w:p xmlns:wp14="http://schemas.microsoft.com/office/word/2010/wordml" w:rsidRPr="00CA0C9D" w:rsidR="00953B0B" w:rsidP="00953B0B" w:rsidRDefault="00953B0B" w14:paraId="5A20CFA2" wp14:textId="77777777">
      <w:pPr>
        <w:spacing w:line="480" w:lineRule="auto"/>
        <w:ind w:firstLine="720"/>
        <w:rPr>
          <w:szCs w:val="24"/>
        </w:rPr>
      </w:pPr>
      <w:r w:rsidRPr="00AF2136">
        <w:rPr>
          <w:szCs w:val="24"/>
        </w:rPr>
        <w:t>An identification must be suppressed if the identification procedure is unduly suggestive and creates a substantial likelihood of misidentification.</w:t>
      </w:r>
      <w:r>
        <w:rPr>
          <w:szCs w:val="24"/>
        </w:rPr>
        <w:t xml:space="preserve"> </w:t>
      </w:r>
      <w:r w:rsidRPr="00861819">
        <w:rPr>
          <w:i/>
          <w:iCs/>
          <w:szCs w:val="24"/>
        </w:rPr>
        <w:t xml:space="preserve">Mason v. </w:t>
      </w:r>
      <w:r w:rsidRPr="00861819">
        <w:rPr>
          <w:i/>
          <w:szCs w:val="24"/>
        </w:rPr>
        <w:t>Brathwaite</w:t>
      </w:r>
      <w:r w:rsidRPr="00AF2136">
        <w:rPr>
          <w:szCs w:val="24"/>
        </w:rPr>
        <w:t xml:space="preserve">, 432 U.S at 106. Single-suspect show-up identifications are inherently suggestive. </w:t>
      </w:r>
      <w:r w:rsidRPr="00861819">
        <w:rPr>
          <w:i/>
          <w:szCs w:val="24"/>
        </w:rPr>
        <w:t>See United States v. Wade</w:t>
      </w:r>
      <w:r w:rsidRPr="003C5227">
        <w:rPr>
          <w:szCs w:val="24"/>
        </w:rPr>
        <w:t xml:space="preserve">, 388 U.S. 218, 229, 234 (1967); </w:t>
      </w:r>
      <w:r w:rsidRPr="00861819">
        <w:rPr>
          <w:i/>
          <w:szCs w:val="24"/>
        </w:rPr>
        <w:t>Stovall v. Denno</w:t>
      </w:r>
      <w:r w:rsidRPr="003C5227">
        <w:rPr>
          <w:szCs w:val="24"/>
        </w:rPr>
        <w:t>, 388 U.S. 293</w:t>
      </w:r>
      <w:r w:rsidRPr="003B65A2">
        <w:rPr>
          <w:szCs w:val="24"/>
        </w:rPr>
        <w:t>, 302 (1967).</w:t>
      </w:r>
      <w:r>
        <w:rPr>
          <w:szCs w:val="24"/>
        </w:rPr>
        <w:t xml:space="preserve"> </w:t>
      </w:r>
      <w:r w:rsidRPr="005F4CDD">
        <w:rPr>
          <w:szCs w:val="24"/>
        </w:rPr>
        <w:t>S</w:t>
      </w:r>
      <w:r w:rsidRPr="00861819">
        <w:rPr>
          <w:i/>
          <w:szCs w:val="24"/>
        </w:rPr>
        <w:t xml:space="preserve">ee also </w:t>
      </w:r>
      <w:r w:rsidRPr="00861819">
        <w:rPr>
          <w:i/>
          <w:iCs/>
        </w:rPr>
        <w:t>Kirby v. Illinois</w:t>
      </w:r>
      <w:r w:rsidRPr="00B6685C">
        <w:t>, 406 U.S. 682, 699 (1972)</w:t>
      </w:r>
      <w:r w:rsidRPr="00B6685C">
        <w:rPr>
          <w:szCs w:val="24"/>
        </w:rPr>
        <w:t xml:space="preserve"> (Brennan, J., dissenting</w:t>
      </w:r>
      <w:r w:rsidRPr="00B6685C">
        <w:t xml:space="preserve">); </w:t>
      </w:r>
      <w:r w:rsidRPr="00861819">
        <w:rPr>
          <w:i/>
          <w:szCs w:val="24"/>
        </w:rPr>
        <w:t>Maddox v. United States</w:t>
      </w:r>
      <w:r w:rsidRPr="003B65A2">
        <w:rPr>
          <w:szCs w:val="24"/>
        </w:rPr>
        <w:t>, 745 A.2d 284, 292 (D.C. 2000)</w:t>
      </w:r>
      <w:r w:rsidR="005F4CDD">
        <w:rPr>
          <w:szCs w:val="24"/>
        </w:rPr>
        <w:t xml:space="preserve"> </w:t>
      </w:r>
      <w:r w:rsidRPr="003B65A2">
        <w:rPr>
          <w:szCs w:val="24"/>
        </w:rPr>
        <w:t xml:space="preserve">(citing </w:t>
      </w:r>
      <w:r w:rsidRPr="00861819">
        <w:rPr>
          <w:i/>
          <w:iCs/>
          <w:szCs w:val="24"/>
        </w:rPr>
        <w:t>Singletary v. United States</w:t>
      </w:r>
      <w:r w:rsidRPr="003B65A2">
        <w:rPr>
          <w:i/>
          <w:iCs/>
          <w:szCs w:val="24"/>
        </w:rPr>
        <w:t>,</w:t>
      </w:r>
      <w:r w:rsidRPr="003B65A2">
        <w:rPr>
          <w:szCs w:val="24"/>
        </w:rPr>
        <w:t> 383 A.2d 1064, 1068 (D.C.</w:t>
      </w:r>
      <w:r w:rsidR="005F4CDD">
        <w:rPr>
          <w:szCs w:val="24"/>
        </w:rPr>
        <w:t xml:space="preserve"> </w:t>
      </w:r>
      <w:r w:rsidRPr="003B65A2">
        <w:rPr>
          <w:szCs w:val="24"/>
        </w:rPr>
        <w:t>1978)).</w:t>
      </w:r>
      <w:r>
        <w:rPr>
          <w:szCs w:val="24"/>
        </w:rPr>
        <w:t xml:space="preserve"> </w:t>
      </w:r>
      <w:r w:rsidRPr="003B65A2">
        <w:rPr>
          <w:szCs w:val="24"/>
        </w:rPr>
        <w:t>An identification is suggestive w</w:t>
      </w:r>
      <w:r w:rsidR="00650D54">
        <w:rPr>
          <w:szCs w:val="24"/>
        </w:rPr>
        <w:t>hen an individual is handcuffed</w:t>
      </w:r>
      <w:r w:rsidRPr="00AF2136">
        <w:rPr>
          <w:szCs w:val="24"/>
        </w:rPr>
        <w:t xml:space="preserve"> in a p</w:t>
      </w:r>
      <w:r w:rsidR="00650D54">
        <w:rPr>
          <w:szCs w:val="24"/>
        </w:rPr>
        <w:t>olice car, surrounded by police</w:t>
      </w:r>
      <w:r w:rsidRPr="00AF2136">
        <w:rPr>
          <w:szCs w:val="24"/>
        </w:rPr>
        <w:t xml:space="preserve"> at the scene of the offense, or the witness is told the individual is a suspect.</w:t>
      </w:r>
      <w:r>
        <w:rPr>
          <w:szCs w:val="24"/>
        </w:rPr>
        <w:t xml:space="preserve"> </w:t>
      </w:r>
      <w:r w:rsidRPr="00861819">
        <w:rPr>
          <w:i/>
          <w:szCs w:val="24"/>
        </w:rPr>
        <w:t>See Russell v. United States</w:t>
      </w:r>
      <w:r w:rsidRPr="00227E62">
        <w:rPr>
          <w:szCs w:val="24"/>
        </w:rPr>
        <w:t xml:space="preserve">, 408 F.2d 1280, 1285 (D.C. Cir. 1969), </w:t>
      </w:r>
      <w:r w:rsidRPr="00861819">
        <w:rPr>
          <w:i/>
          <w:szCs w:val="24"/>
        </w:rPr>
        <w:t>Womack v. United States</w:t>
      </w:r>
      <w:r w:rsidRPr="00C649FF">
        <w:rPr>
          <w:szCs w:val="24"/>
        </w:rPr>
        <w:t xml:space="preserve">, 673 A.2d 603, 611 (D.C. 1995), </w:t>
      </w:r>
      <w:r w:rsidRPr="00861819">
        <w:rPr>
          <w:i/>
          <w:szCs w:val="24"/>
        </w:rPr>
        <w:t>Washington v. United States</w:t>
      </w:r>
      <w:r w:rsidRPr="00D460A8">
        <w:rPr>
          <w:szCs w:val="24"/>
        </w:rPr>
        <w:t>, 334 A.2d 185, 187 (D.C. 1975).</w:t>
      </w:r>
      <w:r>
        <w:rPr>
          <w:szCs w:val="24"/>
        </w:rPr>
        <w:t xml:space="preserve"> </w:t>
      </w:r>
      <w:r w:rsidRPr="00D460A8">
        <w:rPr>
          <w:szCs w:val="24"/>
        </w:rPr>
        <w:t>Here, Kevin was handcuffed, in the back of the police car, at the scene of the offense, and the witness knew Kevin was a suspect.</w:t>
      </w:r>
      <w:r>
        <w:rPr>
          <w:szCs w:val="24"/>
        </w:rPr>
        <w:t xml:space="preserve"> </w:t>
      </w:r>
      <w:r w:rsidRPr="00D460A8">
        <w:rPr>
          <w:szCs w:val="24"/>
        </w:rPr>
        <w:t xml:space="preserve">Therefore, </w:t>
      </w:r>
      <w:r w:rsidRPr="00CA0C9D">
        <w:rPr>
          <w:szCs w:val="24"/>
        </w:rPr>
        <w:t>the identification was unduly suggestive.</w:t>
      </w:r>
    </w:p>
    <w:p xmlns:wp14="http://schemas.microsoft.com/office/word/2010/wordml" w:rsidRPr="00AF2136" w:rsidR="00953B0B" w:rsidP="00953B0B" w:rsidRDefault="00953B0B" w14:paraId="11D0C971" wp14:textId="77777777">
      <w:pPr>
        <w:spacing w:line="480" w:lineRule="auto"/>
        <w:ind w:firstLine="720"/>
        <w:rPr>
          <w:szCs w:val="24"/>
        </w:rPr>
      </w:pPr>
      <w:r w:rsidRPr="00E408C5">
        <w:rPr>
          <w:szCs w:val="24"/>
        </w:rPr>
        <w:t xml:space="preserve">An unduly suggestive identification is admissible if it is otherwise reliable. </w:t>
      </w:r>
      <w:r w:rsidRPr="00650D54">
        <w:rPr>
          <w:i/>
          <w:szCs w:val="24"/>
        </w:rPr>
        <w:t>Manson v. Braithwaite</w:t>
      </w:r>
      <w:r w:rsidRPr="00BE7422">
        <w:rPr>
          <w:szCs w:val="24"/>
        </w:rPr>
        <w:t>, 432 U.S at 114.</w:t>
      </w:r>
      <w:r>
        <w:rPr>
          <w:szCs w:val="24"/>
        </w:rPr>
        <w:t xml:space="preserve"> </w:t>
      </w:r>
      <w:r w:rsidRPr="00BE7422">
        <w:rPr>
          <w:szCs w:val="24"/>
        </w:rPr>
        <w:t>Factors for reliability include the witness’</w:t>
      </w:r>
      <w:r w:rsidR="005F4CDD">
        <w:rPr>
          <w:szCs w:val="24"/>
        </w:rPr>
        <w:t>s</w:t>
      </w:r>
      <w:r w:rsidRPr="00BE7422">
        <w:rPr>
          <w:szCs w:val="24"/>
        </w:rPr>
        <w:t xml:space="preserve"> opportunity to observe, the witness’</w:t>
      </w:r>
      <w:r w:rsidR="005F4CDD">
        <w:rPr>
          <w:szCs w:val="24"/>
        </w:rPr>
        <w:t>s</w:t>
      </w:r>
      <w:r w:rsidRPr="00BE7422">
        <w:rPr>
          <w:szCs w:val="24"/>
        </w:rPr>
        <w:t xml:space="preserve"> degree of attention, the accuracy of the description, the witness’s level of certainty and the time betwee</w:t>
      </w:r>
      <w:r w:rsidRPr="004F6D67">
        <w:rPr>
          <w:szCs w:val="24"/>
        </w:rPr>
        <w:t>n the crime and confrontation</w:t>
      </w:r>
      <w:r w:rsidRPr="00861819">
        <w:rPr>
          <w:szCs w:val="24"/>
        </w:rPr>
        <w:t xml:space="preserve">. </w:t>
      </w:r>
      <w:r w:rsidRPr="00861819">
        <w:rPr>
          <w:i/>
          <w:szCs w:val="24"/>
        </w:rPr>
        <w:t>Id.</w:t>
      </w:r>
      <w:r w:rsidRPr="00861819">
        <w:rPr>
          <w:szCs w:val="24"/>
        </w:rPr>
        <w:t xml:space="preserve"> </w:t>
      </w:r>
      <w:r w:rsidRPr="00AF2136">
        <w:rPr>
          <w:szCs w:val="24"/>
        </w:rPr>
        <w:t>Here</w:t>
      </w:r>
      <w:r w:rsidR="00650D54">
        <w:rPr>
          <w:szCs w:val="24"/>
        </w:rPr>
        <w:t>,</w:t>
      </w:r>
      <w:r w:rsidRPr="00AF2136">
        <w:rPr>
          <w:szCs w:val="24"/>
        </w:rPr>
        <w:t xml:space="preserve"> the witness briefly viewed the suspect </w:t>
      </w:r>
      <w:r>
        <w:rPr>
          <w:szCs w:val="24"/>
        </w:rPr>
        <w:t>behind a partially covered gate</w:t>
      </w:r>
      <w:r w:rsidRPr="00AF2136">
        <w:rPr>
          <w:szCs w:val="24"/>
        </w:rPr>
        <w:t xml:space="preserve"> in poor lighting, described the suspect’s clo</w:t>
      </w:r>
      <w:r>
        <w:rPr>
          <w:szCs w:val="24"/>
        </w:rPr>
        <w:t xml:space="preserve">thing as different from Kevin’s, </w:t>
      </w:r>
      <w:r w:rsidRPr="00AF2136">
        <w:rPr>
          <w:szCs w:val="24"/>
        </w:rPr>
        <w:t>provided no details about the suspect’s ph</w:t>
      </w:r>
      <w:r>
        <w:rPr>
          <w:szCs w:val="24"/>
        </w:rPr>
        <w:t>ysical features other than race</w:t>
      </w:r>
      <w:r w:rsidR="005F4CDD">
        <w:rPr>
          <w:szCs w:val="24"/>
        </w:rPr>
        <w:t>,</w:t>
      </w:r>
      <w:r w:rsidRPr="00AF2136">
        <w:rPr>
          <w:szCs w:val="24"/>
        </w:rPr>
        <w:t xml:space="preserve"> </w:t>
      </w:r>
      <w:r w:rsidRPr="00AF2136">
        <w:rPr>
          <w:szCs w:val="24"/>
        </w:rPr>
        <w:t xml:space="preserve">and confronted the witness close to one hour after the alleged crime. The identification lacks reliability because of these defects in opportunity to observe and </w:t>
      </w:r>
      <w:r w:rsidR="00650D54">
        <w:rPr>
          <w:szCs w:val="24"/>
        </w:rPr>
        <w:t>in</w:t>
      </w:r>
      <w:r w:rsidRPr="00AF2136">
        <w:rPr>
          <w:szCs w:val="24"/>
        </w:rPr>
        <w:t>accurac</w:t>
      </w:r>
      <w:r w:rsidR="00650D54">
        <w:rPr>
          <w:szCs w:val="24"/>
        </w:rPr>
        <w:t>ies</w:t>
      </w:r>
      <w:r w:rsidR="005F4CDD">
        <w:rPr>
          <w:szCs w:val="24"/>
        </w:rPr>
        <w:t>. Thus, the identification</w:t>
      </w:r>
      <w:r w:rsidRPr="00AF2136">
        <w:rPr>
          <w:szCs w:val="24"/>
        </w:rPr>
        <w:t xml:space="preserve"> must be suppressed.</w:t>
      </w:r>
    </w:p>
    <w:p xmlns:wp14="http://schemas.microsoft.com/office/word/2010/wordml" w:rsidRPr="00AF2136" w:rsidR="00953B0B" w:rsidP="00953B0B" w:rsidRDefault="009503EA" w14:paraId="65C15C81" wp14:textId="77777777">
      <w:pPr>
        <w:autoSpaceDE w:val="0"/>
        <w:autoSpaceDN w:val="0"/>
        <w:adjustRightInd w:val="0"/>
        <w:ind w:left="1440" w:hanging="720"/>
        <w:rPr>
          <w:b/>
          <w:bCs/>
          <w:szCs w:val="24"/>
        </w:rPr>
      </w:pPr>
      <w:r>
        <w:rPr>
          <w:b/>
          <w:bCs/>
          <w:szCs w:val="24"/>
        </w:rPr>
        <w:t>B</w:t>
      </w:r>
      <w:r w:rsidRPr="00AF2136" w:rsidR="00953B0B">
        <w:rPr>
          <w:b/>
          <w:bCs/>
          <w:szCs w:val="24"/>
        </w:rPr>
        <w:t>.</w:t>
      </w:r>
      <w:r w:rsidRPr="00AF2136" w:rsidR="00953B0B">
        <w:rPr>
          <w:b/>
          <w:bCs/>
          <w:szCs w:val="24"/>
        </w:rPr>
        <w:tab/>
      </w:r>
      <w:r w:rsidRPr="00AF2136" w:rsidR="00953B0B">
        <w:rPr>
          <w:b/>
          <w:szCs w:val="24"/>
        </w:rPr>
        <w:t xml:space="preserve">The </w:t>
      </w:r>
      <w:r w:rsidR="00953B0B">
        <w:rPr>
          <w:b/>
          <w:szCs w:val="24"/>
        </w:rPr>
        <w:t>show-up</w:t>
      </w:r>
      <w:r w:rsidRPr="00AF2136" w:rsidR="00953B0B">
        <w:rPr>
          <w:b/>
          <w:szCs w:val="24"/>
        </w:rPr>
        <w:t xml:space="preserve"> identification violates the rules of evidence</w:t>
      </w:r>
      <w:r w:rsidR="00953B0B">
        <w:rPr>
          <w:b/>
          <w:szCs w:val="24"/>
        </w:rPr>
        <w:t>,</w:t>
      </w:r>
      <w:r w:rsidR="00AE64A3">
        <w:rPr>
          <w:b/>
          <w:szCs w:val="24"/>
        </w:rPr>
        <w:t xml:space="preserve"> because it is unreliable</w:t>
      </w:r>
    </w:p>
    <w:p xmlns:wp14="http://schemas.microsoft.com/office/word/2010/wordml" w:rsidRPr="00AF2136" w:rsidR="00953B0B" w:rsidP="00953B0B" w:rsidRDefault="00953B0B" w14:paraId="4B94D5A5" wp14:textId="77777777">
      <w:pPr>
        <w:rPr>
          <w:szCs w:val="24"/>
        </w:rPr>
      </w:pPr>
    </w:p>
    <w:p xmlns:wp14="http://schemas.microsoft.com/office/word/2010/wordml" w:rsidRPr="00AF2136" w:rsidR="00953B0B" w:rsidP="00953B0B" w:rsidRDefault="00953B0B" w14:paraId="746A1234" wp14:textId="77777777">
      <w:pPr>
        <w:spacing w:line="480" w:lineRule="auto"/>
        <w:ind w:firstLine="720"/>
        <w:rPr>
          <w:szCs w:val="24"/>
          <w:u w:val="single"/>
        </w:rPr>
      </w:pPr>
      <w:r w:rsidRPr="00AF2136">
        <w:rPr>
          <w:szCs w:val="24"/>
        </w:rPr>
        <w:t>Identifications are only admissible into evidence if the indicia of reliability provides probative value.</w:t>
      </w:r>
      <w:r>
        <w:rPr>
          <w:szCs w:val="24"/>
        </w:rPr>
        <w:t xml:space="preserve"> </w:t>
      </w:r>
      <w:r w:rsidRPr="00650D54">
        <w:rPr>
          <w:i/>
          <w:szCs w:val="24"/>
        </w:rPr>
        <w:t>See Beatty</w:t>
      </w:r>
      <w:r w:rsidRPr="00AF2136">
        <w:rPr>
          <w:szCs w:val="24"/>
        </w:rPr>
        <w:t>, 544 A.2d at 702.</w:t>
      </w:r>
      <w:r>
        <w:rPr>
          <w:szCs w:val="24"/>
        </w:rPr>
        <w:t xml:space="preserve"> </w:t>
      </w:r>
      <w:r w:rsidRPr="00AF2136">
        <w:rPr>
          <w:szCs w:val="24"/>
        </w:rPr>
        <w:t>The crime scene identification lacks the indicia of reliability that would provide probative value.</w:t>
      </w:r>
      <w:r>
        <w:rPr>
          <w:szCs w:val="24"/>
        </w:rPr>
        <w:t xml:space="preserve"> </w:t>
      </w:r>
      <w:r w:rsidRPr="00AF2136">
        <w:rPr>
          <w:szCs w:val="24"/>
        </w:rPr>
        <w:t>The witness briefly viewed the suspect</w:t>
      </w:r>
      <w:r w:rsidR="005F4CDD">
        <w:rPr>
          <w:szCs w:val="24"/>
        </w:rPr>
        <w:t xml:space="preserve"> in poor lighting</w:t>
      </w:r>
      <w:r w:rsidRPr="00AF2136">
        <w:rPr>
          <w:szCs w:val="24"/>
        </w:rPr>
        <w:t xml:space="preserve"> behind a partially</w:t>
      </w:r>
      <w:r>
        <w:rPr>
          <w:szCs w:val="24"/>
        </w:rPr>
        <w:t xml:space="preserve"> covered gate, </w:t>
      </w:r>
      <w:r w:rsidRPr="00AF2136">
        <w:rPr>
          <w:szCs w:val="24"/>
        </w:rPr>
        <w:t>and could not provide descriptive features other than race.</w:t>
      </w:r>
      <w:r>
        <w:rPr>
          <w:szCs w:val="24"/>
        </w:rPr>
        <w:t xml:space="preserve"> </w:t>
      </w:r>
      <w:r w:rsidRPr="00AF2136">
        <w:rPr>
          <w:szCs w:val="24"/>
        </w:rPr>
        <w:t>Therefore, the</w:t>
      </w:r>
      <w:r w:rsidR="00650D54">
        <w:rPr>
          <w:szCs w:val="24"/>
        </w:rPr>
        <w:t xml:space="preserve"> witness’</w:t>
      </w:r>
      <w:r w:rsidRPr="00AF2136">
        <w:rPr>
          <w:szCs w:val="24"/>
        </w:rPr>
        <w:t xml:space="preserve"> identification </w:t>
      </w:r>
      <w:r w:rsidR="00650D54">
        <w:rPr>
          <w:szCs w:val="24"/>
        </w:rPr>
        <w:t xml:space="preserve">made </w:t>
      </w:r>
      <w:r w:rsidRPr="00AF2136">
        <w:rPr>
          <w:szCs w:val="24"/>
        </w:rPr>
        <w:t xml:space="preserve">an hour </w:t>
      </w:r>
      <w:r w:rsidR="00650D54">
        <w:rPr>
          <w:szCs w:val="24"/>
        </w:rPr>
        <w:t>after the alleged offense</w:t>
      </w:r>
      <w:r w:rsidRPr="00AF2136">
        <w:rPr>
          <w:szCs w:val="24"/>
        </w:rPr>
        <w:t xml:space="preserve"> lacks sufficient reliability to be admitted into evidence.</w:t>
      </w:r>
    </w:p>
    <w:p xmlns:wp14="http://schemas.microsoft.com/office/word/2010/wordml" w:rsidR="00953B0B" w:rsidP="00AE64A3" w:rsidRDefault="009503EA" w14:paraId="16074141" wp14:textId="77777777">
      <w:pPr>
        <w:ind w:left="720" w:hanging="720"/>
        <w:rPr>
          <w:b/>
          <w:szCs w:val="24"/>
        </w:rPr>
      </w:pPr>
      <w:r>
        <w:rPr>
          <w:b/>
          <w:szCs w:val="24"/>
        </w:rPr>
        <w:t xml:space="preserve">III. </w:t>
      </w:r>
      <w:r w:rsidR="00AE64A3">
        <w:rPr>
          <w:b/>
          <w:szCs w:val="24"/>
        </w:rPr>
        <w:tab/>
      </w:r>
      <w:r w:rsidR="00953B0B">
        <w:rPr>
          <w:b/>
          <w:szCs w:val="24"/>
        </w:rPr>
        <w:t>Any in-</w:t>
      </w:r>
      <w:r w:rsidRPr="00AF2136" w:rsidR="00953B0B">
        <w:rPr>
          <w:b/>
          <w:szCs w:val="24"/>
        </w:rPr>
        <w:t>court identificat</w:t>
      </w:r>
      <w:r w:rsidR="00AE64A3">
        <w:rPr>
          <w:b/>
          <w:szCs w:val="24"/>
        </w:rPr>
        <w:t>ion lacks an independent source and therefore cannot be admitted</w:t>
      </w:r>
    </w:p>
    <w:p xmlns:wp14="http://schemas.microsoft.com/office/word/2010/wordml" w:rsidRPr="00AF2136" w:rsidR="00AE64A3" w:rsidP="00AE64A3" w:rsidRDefault="00AE64A3" w14:paraId="3DEEC669" wp14:textId="77777777">
      <w:pPr>
        <w:rPr>
          <w:b/>
          <w:szCs w:val="24"/>
        </w:rPr>
      </w:pPr>
    </w:p>
    <w:p xmlns:wp14="http://schemas.microsoft.com/office/word/2010/wordml" w:rsidRPr="00AF2136" w:rsidR="00953B0B" w:rsidP="00953B0B" w:rsidRDefault="00953B0B" w14:paraId="28FA4FDA" wp14:textId="77777777">
      <w:pPr>
        <w:spacing w:line="480" w:lineRule="auto"/>
        <w:ind w:firstLine="720"/>
        <w:rPr>
          <w:szCs w:val="24"/>
        </w:rPr>
      </w:pPr>
      <w:r>
        <w:rPr>
          <w:szCs w:val="24"/>
        </w:rPr>
        <w:t>An in-</w:t>
      </w:r>
      <w:r w:rsidRPr="00AF2136">
        <w:rPr>
          <w:szCs w:val="24"/>
        </w:rPr>
        <w:t>court identification must have a source in</w:t>
      </w:r>
      <w:r>
        <w:rPr>
          <w:szCs w:val="24"/>
        </w:rPr>
        <w:t>dependent from any improper out-of-</w:t>
      </w:r>
      <w:r w:rsidRPr="00AF2136">
        <w:rPr>
          <w:szCs w:val="24"/>
        </w:rPr>
        <w:t xml:space="preserve">court identification. </w:t>
      </w:r>
      <w:r w:rsidRPr="00650D54">
        <w:rPr>
          <w:i/>
          <w:szCs w:val="24"/>
        </w:rPr>
        <w:t>Clemons v. United States</w:t>
      </w:r>
      <w:r w:rsidRPr="00AF2136">
        <w:rPr>
          <w:szCs w:val="24"/>
        </w:rPr>
        <w:t>, 408 F.2d l230, 1258 (1968).</w:t>
      </w:r>
      <w:r>
        <w:rPr>
          <w:szCs w:val="24"/>
        </w:rPr>
        <w:t xml:space="preserve"> </w:t>
      </w:r>
      <w:r w:rsidRPr="00AF2136">
        <w:rPr>
          <w:szCs w:val="24"/>
        </w:rPr>
        <w:t>Witnesses may have an independent source for the identification when the witness reliably observed the suspect at the crime scene.</w:t>
      </w:r>
      <w:r>
        <w:rPr>
          <w:szCs w:val="24"/>
        </w:rPr>
        <w:t xml:space="preserve"> </w:t>
      </w:r>
      <w:r w:rsidRPr="00650D54">
        <w:rPr>
          <w:i/>
          <w:szCs w:val="24"/>
        </w:rPr>
        <w:t>Id.</w:t>
      </w:r>
      <w:r w:rsidRPr="00650D54">
        <w:rPr>
          <w:szCs w:val="24"/>
        </w:rPr>
        <w:t xml:space="preserve"> </w:t>
      </w:r>
      <w:r w:rsidRPr="00AF2136">
        <w:rPr>
          <w:szCs w:val="24"/>
        </w:rPr>
        <w:t>In</w:t>
      </w:r>
      <w:r>
        <w:rPr>
          <w:szCs w:val="24"/>
        </w:rPr>
        <w:t xml:space="preserve"> this case, the witness’</w:t>
      </w:r>
      <w:r w:rsidR="005F4CDD">
        <w:rPr>
          <w:szCs w:val="24"/>
        </w:rPr>
        <w:t>s</w:t>
      </w:r>
      <w:r w:rsidRPr="00AF2136">
        <w:rPr>
          <w:szCs w:val="24"/>
        </w:rPr>
        <w:t xml:space="preserve"> limited opportunity to observe and inability to provide descriptive features do not provide an independent source for identification.</w:t>
      </w:r>
      <w:r>
        <w:rPr>
          <w:szCs w:val="24"/>
        </w:rPr>
        <w:t xml:space="preserve"> Therefore, an in-</w:t>
      </w:r>
      <w:r w:rsidRPr="00AF2136">
        <w:rPr>
          <w:szCs w:val="24"/>
        </w:rPr>
        <w:t>court identification must not be admitted.</w:t>
      </w:r>
    </w:p>
    <w:p xmlns:wp14="http://schemas.microsoft.com/office/word/2010/wordml" w:rsidR="009054CD" w:rsidP="00AE64A3" w:rsidRDefault="00953B0B" w14:paraId="42695910" wp14:textId="77777777">
      <w:pPr>
        <w:spacing w:line="480" w:lineRule="auto"/>
        <w:ind w:firstLine="720"/>
      </w:pPr>
      <w:r w:rsidRPr="00AF2136">
        <w:rPr>
          <w:szCs w:val="24"/>
        </w:rPr>
        <w:t>WHEREFORE, for these reasons and any others that may appear to the Court after an evidentiary hearing on the Motion, Kevin Frazier respectfully requests that this Motion be granted and that this Court suppress all tangible evidence and identification testimony in this case.</w:t>
      </w:r>
    </w:p>
    <w:sectPr w:rsidR="009054CD" w:rsidSect="000559B7">
      <w:headerReference w:type="default" r:id="rId7"/>
      <w:footerReference w:type="default" r:id="rId8"/>
      <w:pgSz w:w="12240" w:h="15840" w:orient="portrait"/>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9318D" w:rsidP="00B86368" w:rsidRDefault="0009318D" w14:paraId="049F31CB" wp14:textId="77777777">
      <w:r>
        <w:separator/>
      </w:r>
    </w:p>
  </w:endnote>
  <w:endnote w:type="continuationSeparator" w:id="0">
    <w:p xmlns:wp14="http://schemas.microsoft.com/office/word/2010/wordml" w:rsidR="0009318D" w:rsidP="00B86368" w:rsidRDefault="0009318D"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80CBA" w:rsidP="00B86368" w:rsidRDefault="00280CBA" w14:paraId="3656B9AB" wp14:textId="77777777">
    <w:pPr>
      <w:pStyle w:val="Footer"/>
    </w:pPr>
  </w:p>
  <w:p w:rsidR="51C658F4" w:rsidP="2109B30B" w:rsidRDefault="51C658F4" w14:paraId="608CAC9B" w14:textId="76FC8253">
    <w:pPr>
      <w:pBdr>
        <w:top w:val="single" w:color="D02320" w:sz="6" w:space="1"/>
      </w:pBdr>
      <w:tabs>
        <w:tab w:val="right" w:leader="none" w:pos="9360"/>
      </w:tabs>
      <w:ind w:left="0"/>
      <w:jc w:val="right"/>
      <w:rPr>
        <w:rFonts w:ascii="Calibri" w:hAnsi="Calibri" w:cs="Calibri"/>
        <w:noProof/>
        <w:sz w:val="20"/>
        <w:szCs w:val="20"/>
      </w:rPr>
    </w:pPr>
    <w:r w:rsidRPr="2109B30B" w:rsidR="2109B30B">
      <w:rPr>
        <w:rFonts w:ascii="Calibri" w:hAnsi="Calibri" w:cs="Calibri"/>
        <w:color w:val="D02320"/>
        <w:sz w:val="20"/>
        <w:szCs w:val="20"/>
      </w:rPr>
      <w:t>YDA</w:t>
    </w:r>
    <w:r w:rsidRPr="2109B30B" w:rsidR="2109B30B">
      <w:rPr>
        <w:rFonts w:ascii="Calibri" w:hAnsi="Calibri" w:cs="Calibri"/>
        <w:color w:val="D02320"/>
        <w:sz w:val="20"/>
        <w:szCs w:val="20"/>
      </w:rPr>
      <w:t xml:space="preserve">P UNIT </w:t>
    </w:r>
    <w:r w:rsidRPr="2109B30B" w:rsidR="2109B30B">
      <w:rPr>
        <w:rFonts w:ascii="Calibri" w:hAnsi="Calibri" w:cs="Calibri"/>
        <w:color w:val="D02320"/>
        <w:sz w:val="20"/>
        <w:szCs w:val="20"/>
      </w:rPr>
      <w:t>VIII</w:t>
    </w:r>
    <w:r w:rsidRPr="2109B30B" w:rsidR="2109B30B">
      <w:rPr>
        <w:rFonts w:ascii="Calibri" w:hAnsi="Calibri" w:cs="Calibri"/>
        <w:color w:val="D02320"/>
        <w:sz w:val="20"/>
        <w:szCs w:val="20"/>
      </w:rPr>
      <w:t>:</w:t>
    </w:r>
    <w:r w:rsidRPr="2109B30B" w:rsidR="2109B30B">
      <w:rPr>
        <w:rFonts w:ascii="Calibri" w:hAnsi="Calibri" w:cs="Calibri"/>
        <w:sz w:val="20"/>
        <w:szCs w:val="20"/>
      </w:rPr>
      <w:t xml:space="preserve"> </w:t>
    </w:r>
    <w:r w:rsidRPr="2109B30B" w:rsidR="2109B30B">
      <w:rPr>
        <w:rFonts w:ascii="Calibri" w:hAnsi="Calibri" w:cs="Calibri"/>
        <w:b w:val="1"/>
        <w:bCs w:val="1"/>
        <w:sz w:val="20"/>
        <w:szCs w:val="20"/>
      </w:rPr>
      <w:t>Motions Practice</w:t>
    </w:r>
    <w:r w:rsidRPr="2109B30B" w:rsidR="2109B30B">
      <w:rPr>
        <w:rFonts w:ascii="Calibri" w:hAnsi="Calibri" w:cs="Calibri"/>
        <w:sz w:val="20"/>
        <w:szCs w:val="20"/>
      </w:rPr>
      <w:t xml:space="preserve">                                </w:t>
    </w:r>
    <w:r w:rsidRPr="2109B30B" w:rsidR="2109B30B">
      <w:rPr>
        <w:rFonts w:ascii="Calibri" w:hAnsi="Calibri" w:cs="Calibri"/>
        <w:sz w:val="20"/>
        <w:szCs w:val="20"/>
      </w:rPr>
      <w:t xml:space="preserve">                   </w:t>
    </w:r>
    <w:r w:rsidRPr="2109B30B" w:rsidR="2109B30B">
      <w:rPr>
        <w:rFonts w:ascii="Calibri" w:hAnsi="Calibri" w:cs="Calibri"/>
        <w:sz w:val="20"/>
        <w:szCs w:val="20"/>
      </w:rPr>
      <w:t xml:space="preserve"> </w:t>
    </w:r>
    <w:r w:rsidRPr="2109B30B" w:rsidR="2109B30B">
      <w:rPr>
        <w:rFonts w:ascii="Calibri" w:hAnsi="Calibri" w:cs="Calibri"/>
        <w:noProof/>
        <w:sz w:val="20"/>
        <w:szCs w:val="20"/>
      </w:rPr>
      <w:t xml:space="preserve">Lesson </w:t>
    </w:r>
    <w:r w:rsidRPr="2109B30B" w:rsidR="2109B30B">
      <w:rPr>
        <w:rFonts w:ascii="Calibri" w:hAnsi="Calibri" w:cs="Calibri"/>
        <w:noProof/>
        <w:sz w:val="20"/>
        <w:szCs w:val="20"/>
      </w:rPr>
      <w:t>21</w:t>
    </w:r>
    <w:r w:rsidRPr="2109B30B" w:rsidR="2109B30B">
      <w:rPr>
        <w:rFonts w:ascii="Calibri" w:hAnsi="Calibri" w:cs="Calibri"/>
        <w:noProof/>
        <w:sz w:val="20"/>
        <w:szCs w:val="20"/>
      </w:rPr>
      <w:t xml:space="preserve"> – </w:t>
    </w:r>
    <w:r w:rsidRPr="2109B30B" w:rsidR="2109B30B">
      <w:rPr>
        <w:rFonts w:ascii="Calibri" w:hAnsi="Calibri" w:cs="Calibri"/>
        <w:noProof/>
        <w:sz w:val="20"/>
        <w:szCs w:val="20"/>
      </w:rPr>
      <w:t>Challenging Identification Testimony</w:t>
    </w:r>
    <w:r w:rsidRPr="2109B30B" w:rsidR="2109B30B">
      <w:rPr>
        <w:rFonts w:ascii="Calibri" w:hAnsi="Calibri" w:cs="Calibri"/>
        <w:noProof/>
        <w:sz w:val="20"/>
        <w:szCs w:val="20"/>
      </w:rPr>
      <w:t>, April 2025</w:t>
    </w:r>
  </w:p>
  <w:p xmlns:wp14="http://schemas.microsoft.com/office/word/2010/wordml" w:rsidRPr="006E3ADC" w:rsidR="00280CBA" w:rsidP="00B86368" w:rsidRDefault="00280CBA" w14:paraId="45FB0818" wp14:textId="77777777">
    <w:pPr>
      <w:pBdr>
        <w:top w:val="single" w:color="D02320" w:sz="6" w:space="1"/>
      </w:pBdr>
      <w:tabs>
        <w:tab w:val="right" w:pos="9360"/>
      </w:tabs>
      <w:jc w:val="center"/>
      <w:rPr>
        <w:rFonts w:ascii="Calibri" w:hAnsi="Calibri" w:cs="Calibri"/>
        <w:noProof/>
        <w:sz w:val="20"/>
      </w:rPr>
    </w:pPr>
  </w:p>
  <w:p xmlns:wp14="http://schemas.microsoft.com/office/word/2010/wordml" w:rsidR="00280CBA" w:rsidP="00B86368" w:rsidRDefault="00280CBA" w14:paraId="559AE699" wp14:textId="77777777">
    <w:pPr>
      <w:pStyle w:val="Footer"/>
      <w:jc w:val="center"/>
    </w:pPr>
    <w:r w:rsidRPr="00D74C91">
      <w:rPr>
        <w:rFonts w:ascii="Calibri" w:hAnsi="Calibri" w:cs="Calibri"/>
      </w:rPr>
      <w:fldChar w:fldCharType="begin"/>
    </w:r>
    <w:r w:rsidRPr="00D74C91">
      <w:rPr>
        <w:rFonts w:ascii="Calibri" w:hAnsi="Calibri" w:cs="Calibri"/>
      </w:rPr>
      <w:instrText xml:space="preserve"> PAGE   \* MERGEFORMAT </w:instrText>
    </w:r>
    <w:r w:rsidRPr="00D74C91">
      <w:rPr>
        <w:rFonts w:ascii="Calibri" w:hAnsi="Calibri" w:cs="Calibri"/>
      </w:rPr>
      <w:fldChar w:fldCharType="separate"/>
    </w:r>
    <w:r w:rsidR="00AE64A3">
      <w:rPr>
        <w:rFonts w:ascii="Calibri" w:hAnsi="Calibri" w:cs="Calibri"/>
        <w:noProof/>
      </w:rPr>
      <w:t>5</w:t>
    </w:r>
    <w:r w:rsidRPr="00D74C91">
      <w:rPr>
        <w:rFonts w:ascii="Calibri"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9318D" w:rsidP="00B86368" w:rsidRDefault="0009318D" w14:paraId="62486C05" wp14:textId="77777777">
      <w:r>
        <w:separator/>
      </w:r>
    </w:p>
  </w:footnote>
  <w:footnote w:type="continuationSeparator" w:id="0">
    <w:p xmlns:wp14="http://schemas.microsoft.com/office/word/2010/wordml" w:rsidR="0009318D" w:rsidP="00B86368" w:rsidRDefault="0009318D" w14:paraId="4101652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xmlns:wp14="http://schemas.microsoft.com/office/word/2010/wordml" w:rsidRPr="007D7163" w:rsidR="00280CBA" w:rsidP="00B86368" w:rsidRDefault="00280CBA" w14:paraId="2303341E" wp14:textId="77777777">
    <w:pPr>
      <w:pStyle w:val="Header"/>
      <w:rPr>
        <w:rFonts w:ascii="Calibri" w:hAnsi="Calibri" w:cs="Calibri"/>
        <w:sz w:val="40"/>
      </w:rPr>
    </w:pPr>
    <w:r>
      <w:rPr>
        <w:noProof/>
      </w:rPr>
      <mc:AlternateContent>
        <mc:Choice Requires="wps">
          <w:drawing>
            <wp:anchor xmlns:wp14="http://schemas.microsoft.com/office/word/2010/wordprocessingDrawing" distT="0" distB="0" distL="114300" distR="114300" simplePos="0" relativeHeight="251659264" behindDoc="1" locked="0" layoutInCell="1" allowOverlap="1" wp14:anchorId="75C10AA3" wp14:editId="09C1F4E5">
              <wp:simplePos x="0" y="0"/>
              <wp:positionH relativeFrom="column">
                <wp:posOffset>-914400</wp:posOffset>
              </wp:positionH>
              <wp:positionV relativeFrom="paragraph">
                <wp:posOffset>-457200</wp:posOffset>
              </wp:positionV>
              <wp:extent cx="7772400" cy="1143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43000"/>
                      </a:xfrm>
                      <a:prstGeom prst="rect">
                        <a:avLst/>
                      </a:prstGeom>
                      <a:solidFill>
                        <a:schemeClr val="bg1">
                          <a:lumMod val="85000"/>
                          <a:lumOff val="0"/>
                        </a:schemeClr>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6EC4D62D">
            <v:rect id="Rectangle 2" style="position:absolute;margin-left:-1in;margin-top:-36pt;width:612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2732]" stroked="f" strokecolor="blue" strokeweight="1.5pt" w14:anchorId="34CCB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">
              <v:shadow opacity="22938f" offset="0"/>
              <v:textbox inset=",7.2pt,,7.2pt"/>
            </v:rect>
          </w:pict>
        </mc:Fallback>
      </mc:AlternateContent>
    </w:r>
    <w:r w:rsidR="00F91F1C">
      <w:rPr>
        <w:rFonts w:ascii="Calibri" w:hAnsi="Calibri" w:cs="Calibri"/>
        <w:color w:val="D02320"/>
        <w:sz w:val="40"/>
      </w:rPr>
      <w:t>YDA</w:t>
    </w:r>
    <w:r w:rsidRPr="007D7163">
      <w:rPr>
        <w:rFonts w:ascii="Calibri" w:hAnsi="Calibri" w:cs="Calibri"/>
        <w:color w:val="D02320"/>
        <w:sz w:val="40"/>
      </w:rPr>
      <w:t xml:space="preserve">P </w:t>
    </w:r>
    <w:r w:rsidRPr="007D7163">
      <w:rPr>
        <w:rFonts w:ascii="Calibri" w:hAnsi="Calibri" w:cs="Calibri"/>
        <w:color w:val="7F7F7F" w:themeColor="text1" w:themeTint="80"/>
        <w:sz w:val="40"/>
      </w:rPr>
      <w:t>Supplemental Materials</w:t>
    </w:r>
  </w:p>
  <w:p xmlns:wp14="http://schemas.microsoft.com/office/word/2010/wordml" w:rsidR="00280CBA" w:rsidP="00B86368" w:rsidRDefault="00280CBA" w14:paraId="763B08A7" wp14:textId="77777777">
    <w:pPr>
      <w:pStyle w:val="Header"/>
    </w:pPr>
    <w:r w:rsidRPr="007D7163">
      <w:rPr>
        <w:rFonts w:ascii="Calibri" w:hAnsi="Calibri" w:cs="Calibri"/>
        <w:sz w:val="40"/>
      </w:rPr>
      <w:t xml:space="preserve">Lesson </w:t>
    </w:r>
    <w:r>
      <w:rPr>
        <w:rFonts w:ascii="Calibri" w:hAnsi="Calibri" w:cs="Calibri"/>
        <w:sz w:val="40"/>
      </w:rPr>
      <w:t>21</w:t>
    </w:r>
    <w:r w:rsidRPr="007D7163">
      <w:rPr>
        <w:rFonts w:ascii="Calibri" w:hAnsi="Calibri" w:cs="Calibri"/>
        <w:sz w:val="40"/>
      </w:rPr>
      <w:t xml:space="preserve"> – </w:t>
    </w:r>
    <w:r>
      <w:rPr>
        <w:rFonts w:ascii="Calibri" w:hAnsi="Calibri" w:cs="Calibri"/>
        <w:sz w:val="40"/>
      </w:rPr>
      <w:t>Challenging Identification Testimony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5327B"/>
    <w:multiLevelType w:val="hybridMultilevel"/>
    <w:tmpl w:val="BBD689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E4E76"/>
    <w:multiLevelType w:val="hybridMultilevel"/>
    <w:tmpl w:val="8CEA7D70"/>
    <w:lvl w:ilvl="0" w:tplc="2C16D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37988"/>
    <w:multiLevelType w:val="hybridMultilevel"/>
    <w:tmpl w:val="FE3AC298"/>
    <w:lvl w:ilvl="0" w:tplc="1608A0BC">
      <w:start w:val="1"/>
      <w:numFmt w:val="upperLetter"/>
      <w:lvlText w:val="%1."/>
      <w:lvlJc w:val="left"/>
      <w:pPr>
        <w:ind w:left="1080" w:hanging="360"/>
      </w:pPr>
      <w:rPr>
        <w:rFonts w:hint="default"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8E73AC7"/>
    <w:multiLevelType w:val="hybridMultilevel"/>
    <w:tmpl w:val="7802519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59"/>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0B"/>
    <w:rsid w:val="000559B7"/>
    <w:rsid w:val="0009318D"/>
    <w:rsid w:val="00182A4C"/>
    <w:rsid w:val="00280CBA"/>
    <w:rsid w:val="00286D64"/>
    <w:rsid w:val="003053F1"/>
    <w:rsid w:val="004A6B1F"/>
    <w:rsid w:val="005F4CDD"/>
    <w:rsid w:val="00650D54"/>
    <w:rsid w:val="007174DF"/>
    <w:rsid w:val="00775696"/>
    <w:rsid w:val="00861819"/>
    <w:rsid w:val="00880F7B"/>
    <w:rsid w:val="009054CD"/>
    <w:rsid w:val="009503EA"/>
    <w:rsid w:val="00953B0B"/>
    <w:rsid w:val="00AE64A3"/>
    <w:rsid w:val="00B86368"/>
    <w:rsid w:val="00B9388E"/>
    <w:rsid w:val="00F13BA9"/>
    <w:rsid w:val="00F2353D"/>
    <w:rsid w:val="00F73602"/>
    <w:rsid w:val="00F91F1C"/>
    <w:rsid w:val="2109B30B"/>
    <w:rsid w:val="51C6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12C3"/>
  <w15:docId w15:val="{C10555F1-1DDC-4591-A1D3-4C296839E1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cs="Times New Roman" w:eastAsiaTheme="minorHAnsi"/>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53B0B"/>
    <w:rPr>
      <w:rFonts w:eastAsia="Times New Roman"/>
      <w:color w:val="auto"/>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ocumentbody" w:customStyle="1">
    <w:name w:val="documentbody"/>
    <w:rsid w:val="00953B0B"/>
    <w:rPr>
      <w:rFonts w:cs="Times New Roman"/>
    </w:rPr>
  </w:style>
  <w:style w:type="paragraph" w:styleId="Header">
    <w:name w:val="header"/>
    <w:basedOn w:val="Normal"/>
    <w:link w:val="HeaderChar"/>
    <w:uiPriority w:val="99"/>
    <w:unhideWhenUsed/>
    <w:rsid w:val="00B86368"/>
    <w:pPr>
      <w:tabs>
        <w:tab w:val="center" w:pos="4680"/>
        <w:tab w:val="right" w:pos="9360"/>
      </w:tabs>
    </w:pPr>
  </w:style>
  <w:style w:type="character" w:styleId="HeaderChar" w:customStyle="1">
    <w:name w:val="Header Char"/>
    <w:basedOn w:val="DefaultParagraphFont"/>
    <w:link w:val="Header"/>
    <w:uiPriority w:val="99"/>
    <w:rsid w:val="00B86368"/>
    <w:rPr>
      <w:rFonts w:eastAsia="Times New Roman"/>
      <w:color w:val="auto"/>
      <w:szCs w:val="20"/>
    </w:rPr>
  </w:style>
  <w:style w:type="paragraph" w:styleId="Footer">
    <w:name w:val="footer"/>
    <w:basedOn w:val="Normal"/>
    <w:link w:val="FooterChar"/>
    <w:uiPriority w:val="99"/>
    <w:unhideWhenUsed/>
    <w:rsid w:val="00B86368"/>
    <w:pPr>
      <w:tabs>
        <w:tab w:val="center" w:pos="4680"/>
        <w:tab w:val="right" w:pos="9360"/>
      </w:tabs>
    </w:pPr>
  </w:style>
  <w:style w:type="character" w:styleId="FooterChar" w:customStyle="1">
    <w:name w:val="Footer Char"/>
    <w:basedOn w:val="DefaultParagraphFont"/>
    <w:link w:val="Footer"/>
    <w:uiPriority w:val="99"/>
    <w:rsid w:val="00B86368"/>
    <w:rPr>
      <w:rFonts w:eastAsia="Times New Roman"/>
      <w:color w:val="auto"/>
      <w:szCs w:val="20"/>
    </w:rPr>
  </w:style>
  <w:style w:type="character" w:styleId="groupheading" w:customStyle="1">
    <w:name w:val="groupheading"/>
    <w:basedOn w:val="DefaultParagraphFont"/>
    <w:rsid w:val="00B86368"/>
  </w:style>
  <w:style w:type="paragraph" w:styleId="BalloonText">
    <w:name w:val="Balloon Text"/>
    <w:basedOn w:val="Normal"/>
    <w:link w:val="BalloonTextChar"/>
    <w:uiPriority w:val="99"/>
    <w:semiHidden/>
    <w:unhideWhenUsed/>
    <w:rsid w:val="009503E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03EA"/>
    <w:rPr>
      <w:rFonts w:ascii="Segoe UI" w:hAnsi="Segoe UI" w:eastAsia="Times New Roman"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6BF978C130EF4E97AEBD37B903379E" ma:contentTypeVersion="22" ma:contentTypeDescription="Create a new document." ma:contentTypeScope="" ma:versionID="76b80edb51a8aa99db5366c35f26dce7">
  <xsd:schema xmlns:xsd="http://www.w3.org/2001/XMLSchema" xmlns:xs="http://www.w3.org/2001/XMLSchema" xmlns:p="http://schemas.microsoft.com/office/2006/metadata/properties" xmlns:ns2="87c37233-24c5-49da-9224-73b7e27bd80b" xmlns:ns3="a523187a-1365-4adc-baee-af0261822a0b" targetNamespace="http://schemas.microsoft.com/office/2006/metadata/properties" ma:root="true" ma:fieldsID="6ab7a8690e445360681f14a122351249" ns2:_="" ns3:_="">
    <xsd:import namespace="87c37233-24c5-49da-9224-73b7e27bd80b"/>
    <xsd:import namespace="a523187a-1365-4adc-baee-af0261822a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Done_x003f_" minOccurs="0"/>
                <xsd:element ref="ns2:lcf76f155ced4ddcb4097134ff3c332f" minOccurs="0"/>
                <xsd:element ref="ns3:TaxCatchAll" minOccurs="0"/>
                <xsd:element ref="ns2:MediaServiceObjectDetectorVersions" minOccurs="0"/>
                <xsd:element ref="ns2:UploadLink" minOccurs="0"/>
                <xsd:element ref="ns2:Receiv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37233-24c5-49da-9224-73b7e27b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one_x003f_" ma:index="21" nillable="true" ma:displayName="Done?" ma:default="1" ma:format="Dropdown" ma:internalName="Done_x003f_">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ed6249-46f6-4372-9912-e5bff67fdf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UploadLink" ma:index="26" nillable="true" ma:displayName="Upload Link" ma:format="Hyperlink" ma:internalName="UploadLink">
      <xsd:complexType>
        <xsd:complexContent>
          <xsd:extension base="dms:URL">
            <xsd:sequence>
              <xsd:element name="Url" type="dms:ValidUrl" minOccurs="0" nillable="true"/>
              <xsd:element name="Description" type="xsd:string" nillable="true"/>
            </xsd:sequence>
          </xsd:extension>
        </xsd:complexContent>
      </xsd:complexType>
    </xsd:element>
    <xsd:element name="Received" ma:index="27" nillable="true" ma:displayName="Received" ma:default="09/19/2023" ma:format="DateOnly" ma:internalName="Received">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3187a-1365-4adc-baee-af0261822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b849cb-ebcd-4031-8328-78a688fb4a47}" ma:internalName="TaxCatchAll" ma:showField="CatchAllData" ma:web="a523187a-1365-4adc-baee-af0261822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23187a-1365-4adc-baee-af0261822a0b" xsi:nil="true"/>
    <Received xmlns="87c37233-24c5-49da-9224-73b7e27bd80b" xsi:nil="true"/>
    <Done_x003f_ xmlns="87c37233-24c5-49da-9224-73b7e27bd80b">true</Done_x003f_>
    <lcf76f155ced4ddcb4097134ff3c332f xmlns="87c37233-24c5-49da-9224-73b7e27bd80b">
      <Terms xmlns="http://schemas.microsoft.com/office/infopath/2007/PartnerControls"/>
    </lcf76f155ced4ddcb4097134ff3c332f>
    <UploadLink xmlns="87c37233-24c5-49da-9224-73b7e27bd80b">
      <Url xsi:nil="true"/>
      <Description xsi:nil="true"/>
    </UploadLink>
  </documentManagement>
</p:properties>
</file>

<file path=customXml/itemProps1.xml><?xml version="1.0" encoding="utf-8"?>
<ds:datastoreItem xmlns:ds="http://schemas.openxmlformats.org/officeDocument/2006/customXml" ds:itemID="{0776AEDD-9F16-497F-9DC1-1F5F7B6FC01D}"/>
</file>

<file path=customXml/itemProps2.xml><?xml version="1.0" encoding="utf-8"?>
<ds:datastoreItem xmlns:ds="http://schemas.openxmlformats.org/officeDocument/2006/customXml" ds:itemID="{ABBB3DAC-5A35-4DEE-B123-59B2AF4CB4F2}"/>
</file>

<file path=customXml/itemProps3.xml><?xml version="1.0" encoding="utf-8"?>
<ds:datastoreItem xmlns:ds="http://schemas.openxmlformats.org/officeDocument/2006/customXml" ds:itemID="{35B0483D-CDEF-453F-B416-63DF607C9B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Nadia Seeratan</dc:creator>
  <lastModifiedBy>Jennifer Mossgraber</lastModifiedBy>
  <revision>6</revision>
  <lastPrinted>2018-05-21T21:14:00.0000000Z</lastPrinted>
  <dcterms:created xsi:type="dcterms:W3CDTF">2018-05-21T21:13:00.0000000Z</dcterms:created>
  <dcterms:modified xsi:type="dcterms:W3CDTF">2025-04-17T14:23:53.6188279Z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0x010100BB6BF978C130EF4E97AEBD37B903379E</vt:lpwstr>
  </property>
  <property fmtid="{D5CDD505-2E9C-101B-9397-08002B2CF9AE}" pid="3" name="MediaServiceImageTags">
    <vt:lpwstr/>
  </property>
</Properties>
</file>