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44BF9" w14:textId="77777777" w:rsidR="00EC2204" w:rsidRPr="00EC2204" w:rsidRDefault="00EC2204" w:rsidP="00EC2204">
      <w:pPr>
        <w:pStyle w:val="Heading1"/>
        <w:spacing w:before="0" w:after="0"/>
        <w:jc w:val="center"/>
        <w:rPr>
          <w:rFonts w:ascii="Palatino Linotype" w:hAnsi="Palatino Linotype"/>
          <w:bCs/>
          <w:sz w:val="22"/>
        </w:rPr>
      </w:pPr>
      <w:r w:rsidRPr="00EC2204">
        <w:rPr>
          <w:rFonts w:ascii="Palatino Linotype" w:hAnsi="Palatino Linotype"/>
          <w:bCs/>
          <w:sz w:val="22"/>
        </w:rPr>
        <w:t xml:space="preserve">Challenging the Hidden Role of Probation </w:t>
      </w:r>
    </w:p>
    <w:p w14:paraId="3CAF0C7B" w14:textId="0E4A2AB0" w:rsidR="00EC2204" w:rsidRPr="00EC2204" w:rsidRDefault="00EC2204" w:rsidP="00EC2204">
      <w:pPr>
        <w:pStyle w:val="Heading1"/>
        <w:spacing w:before="0" w:after="0"/>
        <w:jc w:val="center"/>
        <w:rPr>
          <w:rFonts w:ascii="Palatino Linotype" w:hAnsi="Palatino Linotype"/>
          <w:sz w:val="22"/>
        </w:rPr>
      </w:pPr>
      <w:r w:rsidRPr="00EC2204">
        <w:rPr>
          <w:rFonts w:ascii="Palatino Linotype" w:hAnsi="Palatino Linotype"/>
          <w:bCs/>
          <w:sz w:val="22"/>
        </w:rPr>
        <w:t>in Destabilizing Youth Rights </w:t>
      </w:r>
      <w:r w:rsidRPr="00EC2204">
        <w:rPr>
          <w:rFonts w:ascii="Palatino Linotype" w:hAnsi="Palatino Linotype"/>
          <w:sz w:val="22"/>
        </w:rPr>
        <w:t>Workshop</w:t>
      </w:r>
    </w:p>
    <w:p w14:paraId="26318337" w14:textId="22D6FEA6" w:rsidR="00435B9F" w:rsidRPr="00EC2204" w:rsidRDefault="002C376B" w:rsidP="00EC2204">
      <w:pPr>
        <w:pStyle w:val="Heading1"/>
        <w:spacing w:after="0"/>
        <w:jc w:val="center"/>
        <w:rPr>
          <w:rFonts w:ascii="Palatino Linotype" w:hAnsi="Palatino Linotype"/>
          <w:b w:val="0"/>
          <w:bCs/>
          <w:sz w:val="22"/>
          <w:u w:val="single"/>
        </w:rPr>
      </w:pPr>
      <w:r w:rsidRPr="00EC2204">
        <w:rPr>
          <w:rFonts w:ascii="Palatino Linotype" w:hAnsi="Palatino Linotype"/>
          <w:b w:val="0"/>
          <w:bCs/>
          <w:sz w:val="22"/>
          <w:u w:val="single"/>
        </w:rPr>
        <w:t xml:space="preserve">Spot the Issue: Scenarios and Strategy </w:t>
      </w:r>
      <w:r w:rsidR="00EC2204" w:rsidRPr="00EC2204">
        <w:rPr>
          <w:rFonts w:ascii="Palatino Linotype" w:hAnsi="Palatino Linotype"/>
          <w:b w:val="0"/>
          <w:bCs/>
          <w:sz w:val="22"/>
          <w:u w:val="single"/>
        </w:rPr>
        <w:t>Worksheet</w:t>
      </w:r>
    </w:p>
    <w:p w14:paraId="5ECA69BB" w14:textId="77777777" w:rsidR="00EC2204" w:rsidRPr="00EC2204" w:rsidRDefault="00EC2204" w:rsidP="00EC2204">
      <w:pPr>
        <w:spacing w:after="0"/>
        <w:rPr>
          <w:rFonts w:ascii="Palatino Linotype" w:hAnsi="Palatino Linotype"/>
        </w:rPr>
      </w:pPr>
    </w:p>
    <w:p w14:paraId="5A4106AF" w14:textId="0B087703" w:rsidR="00435B9F" w:rsidRPr="00EC2204" w:rsidRDefault="002C376B" w:rsidP="00EC2204">
      <w:pPr>
        <w:spacing w:after="0"/>
        <w:rPr>
          <w:rFonts w:ascii="Palatino Linotype" w:hAnsi="Palatino Linotype"/>
        </w:rPr>
      </w:pPr>
      <w:r w:rsidRPr="00EC2204">
        <w:rPr>
          <w:rFonts w:ascii="Palatino Linotype" w:hAnsi="Palatino Linotype"/>
        </w:rPr>
        <w:t xml:space="preserve">Work through your assigned scenario using the questions below, and draw on the strategy menu on the back. </w:t>
      </w:r>
    </w:p>
    <w:p w14:paraId="0BAA5772" w14:textId="77777777" w:rsidR="00435B9F" w:rsidRPr="00EC2204" w:rsidRDefault="002C376B" w:rsidP="00EC2204">
      <w:pPr>
        <w:pStyle w:val="Heading2"/>
        <w:spacing w:after="0"/>
        <w:rPr>
          <w:rFonts w:ascii="Palatino Linotype" w:hAnsi="Palatino Linotype"/>
          <w:sz w:val="22"/>
        </w:rPr>
      </w:pPr>
      <w:r w:rsidRPr="00EC2204">
        <w:rPr>
          <w:rFonts w:ascii="Palatino Linotype" w:hAnsi="Palatino Linotype"/>
          <w:sz w:val="22"/>
        </w:rPr>
        <w:t>Questions for your group</w:t>
      </w:r>
    </w:p>
    <w:p w14:paraId="20E96B29" w14:textId="77777777"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What legal doctrine or procedural concern is raised?</w:t>
      </w:r>
    </w:p>
    <w:p w14:paraId="35C0C6F5" w14:textId="77777777"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What facts do you need?</w:t>
      </w:r>
    </w:p>
    <w:p w14:paraId="3F9D6E49" w14:textId="77777777"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What record do you have to make?</w:t>
      </w:r>
    </w:p>
    <w:p w14:paraId="159CB2B9" w14:textId="77777777"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What remedy are you asking for?</w:t>
      </w:r>
    </w:p>
    <w:p w14:paraId="378132A2" w14:textId="77777777"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Where is the law? Where can you distinguish it?</w:t>
      </w:r>
    </w:p>
    <w:p w14:paraId="72803901" w14:textId="67FDB4A8" w:rsidR="00435B9F" w:rsidRPr="00EC2204" w:rsidRDefault="002C376B" w:rsidP="00EC2204">
      <w:pPr>
        <w:pStyle w:val="ListParagraph"/>
        <w:numPr>
          <w:ilvl w:val="0"/>
          <w:numId w:val="2"/>
        </w:numPr>
        <w:spacing w:after="0"/>
        <w:rPr>
          <w:rFonts w:ascii="Palatino Linotype" w:hAnsi="Palatino Linotype"/>
        </w:rPr>
      </w:pPr>
      <w:r w:rsidRPr="00EC2204">
        <w:rPr>
          <w:rFonts w:ascii="Palatino Linotype" w:hAnsi="Palatino Linotype"/>
        </w:rPr>
        <w:t>Report back: your strongest argument.</w:t>
      </w:r>
    </w:p>
    <w:p w14:paraId="63A1B4F4" w14:textId="09BDC86C" w:rsidR="00EC2204" w:rsidRDefault="002C376B" w:rsidP="00EC2204">
      <w:pPr>
        <w:pStyle w:val="Heading2"/>
        <w:spacing w:after="0"/>
        <w:rPr>
          <w:rFonts w:ascii="Palatino Linotype" w:hAnsi="Palatino Linotype"/>
          <w:sz w:val="22"/>
          <w:u w:val="single"/>
        </w:rPr>
      </w:pPr>
      <w:r w:rsidRPr="00EC2204">
        <w:rPr>
          <w:rFonts w:ascii="Palatino Linotype" w:hAnsi="Palatino Linotype"/>
          <w:sz w:val="22"/>
          <w:u w:val="single"/>
        </w:rPr>
        <w:t>Scenarios</w:t>
      </w:r>
    </w:p>
    <w:p w14:paraId="67633BF7" w14:textId="77777777" w:rsidR="00EC2204" w:rsidRPr="00EC2204" w:rsidRDefault="00EC2204" w:rsidP="00EC2204"/>
    <w:p w14:paraId="79D940A6" w14:textId="77777777" w:rsidR="00435B9F" w:rsidRPr="00EC2204" w:rsidRDefault="002C376B" w:rsidP="00EC2204">
      <w:pPr>
        <w:spacing w:after="0"/>
        <w:rPr>
          <w:rFonts w:ascii="Palatino Linotype" w:hAnsi="Palatino Linotype"/>
        </w:rPr>
      </w:pPr>
      <w:r w:rsidRPr="00EC2204">
        <w:rPr>
          <w:rFonts w:ascii="Palatino Linotype" w:hAnsi="Palatino Linotype"/>
          <w:b/>
        </w:rPr>
        <w:t>Scenario 1.</w:t>
      </w:r>
      <w:r w:rsidRPr="00EC2204">
        <w:rPr>
          <w:rFonts w:ascii="Palatino Linotype" w:hAnsi="Palatino Linotype"/>
        </w:rPr>
        <w:t xml:space="preserve"> The disposition order says: “Minor shall complete any program as directed by probation, including residential placement if deemed appropriate by the probation officer.” Two months later, the officer moves the youth to a residential program three hours from home. There is no hearing; the court learns of it from a status report.</w:t>
      </w:r>
    </w:p>
    <w:p w14:paraId="1E920935"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23ED52FF" w14:textId="77777777" w:rsidR="00EC2204" w:rsidRPr="00EC2204" w:rsidRDefault="00EC2204" w:rsidP="00EC2204">
      <w:pPr>
        <w:spacing w:after="0"/>
        <w:rPr>
          <w:rFonts w:ascii="Palatino Linotype" w:hAnsi="Palatino Linotype"/>
        </w:rPr>
      </w:pPr>
    </w:p>
    <w:p w14:paraId="24ACE864" w14:textId="77777777" w:rsidR="00EC2204" w:rsidRPr="00EC2204" w:rsidRDefault="00EC2204" w:rsidP="00EC2204">
      <w:pPr>
        <w:spacing w:after="0"/>
        <w:rPr>
          <w:rFonts w:ascii="Palatino Linotype" w:hAnsi="Palatino Linotype"/>
        </w:rPr>
      </w:pPr>
    </w:p>
    <w:p w14:paraId="14E8C2A5" w14:textId="77777777" w:rsidR="00EC2204" w:rsidRPr="00EC2204" w:rsidRDefault="00EC2204" w:rsidP="00EC2204">
      <w:pPr>
        <w:spacing w:after="0"/>
        <w:rPr>
          <w:rFonts w:ascii="Palatino Linotype" w:hAnsi="Palatino Linotype"/>
        </w:rPr>
      </w:pPr>
    </w:p>
    <w:p w14:paraId="71218726" w14:textId="77777777" w:rsidR="00EC2204" w:rsidRPr="00EC2204" w:rsidRDefault="00EC2204" w:rsidP="00EC2204">
      <w:pPr>
        <w:spacing w:after="0"/>
        <w:rPr>
          <w:rFonts w:ascii="Palatino Linotype" w:hAnsi="Palatino Linotype"/>
          <w:b/>
        </w:rPr>
      </w:pPr>
    </w:p>
    <w:p w14:paraId="00A9F0DD" w14:textId="77777777" w:rsidR="00EC2204" w:rsidRPr="00EC2204" w:rsidRDefault="00EC2204" w:rsidP="00EC2204">
      <w:pPr>
        <w:spacing w:after="0"/>
        <w:rPr>
          <w:rFonts w:ascii="Palatino Linotype" w:hAnsi="Palatino Linotype"/>
          <w:b/>
        </w:rPr>
      </w:pPr>
    </w:p>
    <w:p w14:paraId="6377F51E" w14:textId="2E4AA508" w:rsidR="00435B9F" w:rsidRPr="00EC2204" w:rsidRDefault="002C376B" w:rsidP="00EC2204">
      <w:pPr>
        <w:spacing w:after="0"/>
        <w:rPr>
          <w:rFonts w:ascii="Palatino Linotype" w:hAnsi="Palatino Linotype"/>
        </w:rPr>
      </w:pPr>
      <w:r w:rsidRPr="00EC2204">
        <w:rPr>
          <w:rFonts w:ascii="Palatino Linotype" w:hAnsi="Palatino Linotype"/>
          <w:b/>
        </w:rPr>
        <w:t>Scenario 2.</w:t>
      </w:r>
      <w:r w:rsidRPr="00EC2204">
        <w:rPr>
          <w:rFonts w:ascii="Palatino Linotype" w:hAnsi="Palatino Linotype"/>
        </w:rPr>
        <w:t xml:space="preserve"> Juvenile probation is a court department in this state. Police ask probation for a list of youth with search conditions in a “gang suppression” zone. An officer and two police officers visit a youth’s home; the officer opens the door and police search the bedroom. Police find a gun and file a new petition.</w:t>
      </w:r>
    </w:p>
    <w:p w14:paraId="0C0368F4"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080E4C54" w14:textId="77777777" w:rsidR="00EC2204" w:rsidRPr="00EC2204" w:rsidRDefault="00EC2204" w:rsidP="00EC2204">
      <w:pPr>
        <w:spacing w:after="0"/>
        <w:rPr>
          <w:rFonts w:ascii="Palatino Linotype" w:hAnsi="Palatino Linotype"/>
        </w:rPr>
      </w:pPr>
    </w:p>
    <w:p w14:paraId="49CA703B" w14:textId="77777777" w:rsidR="00EC2204" w:rsidRPr="00EC2204" w:rsidRDefault="00EC2204" w:rsidP="00EC2204">
      <w:pPr>
        <w:spacing w:after="0"/>
        <w:rPr>
          <w:rFonts w:ascii="Palatino Linotype" w:hAnsi="Palatino Linotype"/>
        </w:rPr>
      </w:pPr>
    </w:p>
    <w:p w14:paraId="3E85BE5C" w14:textId="77777777" w:rsidR="00EC2204" w:rsidRPr="00EC2204" w:rsidRDefault="00EC2204" w:rsidP="00EC2204">
      <w:pPr>
        <w:spacing w:after="0"/>
        <w:rPr>
          <w:rFonts w:ascii="Palatino Linotype" w:hAnsi="Palatino Linotype"/>
        </w:rPr>
      </w:pPr>
    </w:p>
    <w:p w14:paraId="50D4A5A5" w14:textId="77777777" w:rsidR="00EC2204" w:rsidRDefault="00EC2204" w:rsidP="00EC2204">
      <w:pPr>
        <w:spacing w:after="0"/>
        <w:rPr>
          <w:rFonts w:ascii="Palatino Linotype" w:hAnsi="Palatino Linotype"/>
          <w:b/>
        </w:rPr>
      </w:pPr>
    </w:p>
    <w:p w14:paraId="5C7CD58C" w14:textId="77777777" w:rsidR="00EC2204" w:rsidRDefault="00EC2204" w:rsidP="00EC2204">
      <w:pPr>
        <w:spacing w:after="0"/>
        <w:rPr>
          <w:rFonts w:ascii="Palatino Linotype" w:hAnsi="Palatino Linotype"/>
          <w:b/>
        </w:rPr>
      </w:pPr>
    </w:p>
    <w:p w14:paraId="31194413" w14:textId="77777777" w:rsidR="00EC2204" w:rsidRPr="00EC2204" w:rsidRDefault="00EC2204" w:rsidP="00EC2204">
      <w:pPr>
        <w:spacing w:after="0"/>
        <w:rPr>
          <w:rFonts w:ascii="Palatino Linotype" w:hAnsi="Palatino Linotype"/>
          <w:b/>
        </w:rPr>
      </w:pPr>
    </w:p>
    <w:p w14:paraId="79DDFF13" w14:textId="1289F04E" w:rsidR="00435B9F" w:rsidRPr="00EC2204" w:rsidRDefault="002C376B" w:rsidP="00EC2204">
      <w:pPr>
        <w:spacing w:after="0"/>
        <w:rPr>
          <w:rFonts w:ascii="Palatino Linotype" w:hAnsi="Palatino Linotype"/>
        </w:rPr>
      </w:pPr>
      <w:r w:rsidRPr="00EC2204">
        <w:rPr>
          <w:rFonts w:ascii="Palatino Linotype" w:hAnsi="Palatino Linotype"/>
          <w:b/>
        </w:rPr>
        <w:lastRenderedPageBreak/>
        <w:t>Scenario 3.</w:t>
      </w:r>
      <w:r w:rsidRPr="00EC2204">
        <w:rPr>
          <w:rFonts w:ascii="Palatino Linotype" w:hAnsi="Palatino Linotype"/>
        </w:rPr>
        <w:t xml:space="preserve"> At first appearance, before counsel is appointed, a probation officer meets a 16-year-old and his mother in the hallway. The officer says: admit the misdemeanor today and probation will recommend informal supervision; refuse and probation may ask for detention. He signs a one-page waiver of counsel and admits the charge.</w:t>
      </w:r>
    </w:p>
    <w:p w14:paraId="548F8312"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1D56BDD2" w14:textId="77777777" w:rsidR="00EC2204" w:rsidRPr="00EC2204" w:rsidRDefault="00EC2204" w:rsidP="00EC2204">
      <w:pPr>
        <w:spacing w:after="0"/>
        <w:rPr>
          <w:rFonts w:ascii="Palatino Linotype" w:hAnsi="Palatino Linotype"/>
        </w:rPr>
      </w:pPr>
    </w:p>
    <w:p w14:paraId="224BC610" w14:textId="77777777" w:rsidR="00EC2204" w:rsidRPr="00EC2204" w:rsidRDefault="00EC2204" w:rsidP="00EC2204">
      <w:pPr>
        <w:spacing w:after="0"/>
        <w:rPr>
          <w:rFonts w:ascii="Palatino Linotype" w:hAnsi="Palatino Linotype"/>
        </w:rPr>
      </w:pPr>
    </w:p>
    <w:p w14:paraId="7B3903CC" w14:textId="77777777" w:rsidR="00EC2204" w:rsidRPr="00EC2204" w:rsidRDefault="00EC2204" w:rsidP="00EC2204">
      <w:pPr>
        <w:spacing w:after="0"/>
        <w:rPr>
          <w:rFonts w:ascii="Palatino Linotype" w:hAnsi="Palatino Linotype"/>
          <w:b/>
        </w:rPr>
      </w:pPr>
    </w:p>
    <w:p w14:paraId="22473167" w14:textId="77777777" w:rsidR="00EC2204" w:rsidRDefault="00EC2204" w:rsidP="00EC2204">
      <w:pPr>
        <w:spacing w:after="0"/>
        <w:rPr>
          <w:rFonts w:ascii="Palatino Linotype" w:hAnsi="Palatino Linotype"/>
          <w:b/>
        </w:rPr>
      </w:pPr>
    </w:p>
    <w:p w14:paraId="34A994D1" w14:textId="77777777" w:rsidR="00EC2204" w:rsidRDefault="00EC2204" w:rsidP="00EC2204">
      <w:pPr>
        <w:spacing w:after="0"/>
        <w:rPr>
          <w:rFonts w:ascii="Palatino Linotype" w:hAnsi="Palatino Linotype"/>
          <w:b/>
        </w:rPr>
      </w:pPr>
    </w:p>
    <w:p w14:paraId="7EA81364" w14:textId="77777777" w:rsidR="00EC2204" w:rsidRPr="00EC2204" w:rsidRDefault="00EC2204" w:rsidP="00EC2204">
      <w:pPr>
        <w:spacing w:after="0"/>
        <w:rPr>
          <w:rFonts w:ascii="Palatino Linotype" w:hAnsi="Palatino Linotype"/>
          <w:b/>
        </w:rPr>
      </w:pPr>
    </w:p>
    <w:p w14:paraId="20A43D75" w14:textId="426B1D13" w:rsidR="00435B9F" w:rsidRPr="00EC2204" w:rsidRDefault="002C376B" w:rsidP="00EC2204">
      <w:pPr>
        <w:spacing w:after="0"/>
        <w:rPr>
          <w:rFonts w:ascii="Palatino Linotype" w:hAnsi="Palatino Linotype"/>
        </w:rPr>
      </w:pPr>
      <w:r w:rsidRPr="00EC2204">
        <w:rPr>
          <w:rFonts w:ascii="Palatino Linotype" w:hAnsi="Palatino Linotype"/>
          <w:b/>
        </w:rPr>
        <w:t>Scenario 4.</w:t>
      </w:r>
      <w:r w:rsidRPr="00EC2204">
        <w:rPr>
          <w:rFonts w:ascii="Palatino Linotype" w:hAnsi="Palatino Linotype"/>
        </w:rPr>
        <w:t xml:space="preserve"> At a transfer hearing, the probation officer testifies the youth is a gang member. The basis is a gang database entry, photos of hand signs, and unnamed informants in police reports. The officer has 3 years of experience and a one-day gang training. The report says the youth </w:t>
      </w:r>
      <w:proofErr w:type="gramStart"/>
      <w:r w:rsidRPr="00EC2204">
        <w:rPr>
          <w:rFonts w:ascii="Palatino Linotype" w:hAnsi="Palatino Linotype"/>
        </w:rPr>
        <w:t>has</w:t>
      </w:r>
      <w:proofErr w:type="gramEnd"/>
      <w:r w:rsidRPr="00EC2204">
        <w:rPr>
          <w:rFonts w:ascii="Palatino Linotype" w:hAnsi="Palatino Linotype"/>
        </w:rPr>
        <w:t xml:space="preserve"> an “adult quality” and “no remorse.”</w:t>
      </w:r>
    </w:p>
    <w:p w14:paraId="57D664E7"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468BECD4" w14:textId="77777777" w:rsidR="00EC2204" w:rsidRPr="00EC2204" w:rsidRDefault="00EC2204" w:rsidP="00EC2204">
      <w:pPr>
        <w:spacing w:after="0"/>
        <w:rPr>
          <w:rFonts w:ascii="Palatino Linotype" w:hAnsi="Palatino Linotype"/>
        </w:rPr>
      </w:pPr>
    </w:p>
    <w:p w14:paraId="613F7A96" w14:textId="77777777" w:rsidR="00EC2204" w:rsidRPr="00EC2204" w:rsidRDefault="00EC2204" w:rsidP="00EC2204">
      <w:pPr>
        <w:spacing w:after="0"/>
        <w:rPr>
          <w:rFonts w:ascii="Palatino Linotype" w:hAnsi="Palatino Linotype"/>
        </w:rPr>
      </w:pPr>
    </w:p>
    <w:p w14:paraId="70A9D2FE" w14:textId="77777777" w:rsidR="00EC2204" w:rsidRPr="00EC2204" w:rsidRDefault="00EC2204" w:rsidP="00EC2204">
      <w:pPr>
        <w:spacing w:after="0"/>
        <w:rPr>
          <w:rFonts w:ascii="Palatino Linotype" w:hAnsi="Palatino Linotype"/>
          <w:b/>
        </w:rPr>
      </w:pPr>
    </w:p>
    <w:p w14:paraId="4FFF722C" w14:textId="77777777" w:rsidR="00EC2204" w:rsidRDefault="00EC2204" w:rsidP="00EC2204">
      <w:pPr>
        <w:spacing w:after="0"/>
        <w:rPr>
          <w:rFonts w:ascii="Palatino Linotype" w:hAnsi="Palatino Linotype"/>
          <w:b/>
        </w:rPr>
      </w:pPr>
    </w:p>
    <w:p w14:paraId="47C2EA93" w14:textId="77777777" w:rsidR="00EC2204" w:rsidRDefault="00EC2204" w:rsidP="00EC2204">
      <w:pPr>
        <w:spacing w:after="0"/>
        <w:rPr>
          <w:rFonts w:ascii="Palatino Linotype" w:hAnsi="Palatino Linotype"/>
          <w:b/>
        </w:rPr>
      </w:pPr>
    </w:p>
    <w:p w14:paraId="56E9E2FC" w14:textId="15CBD54F" w:rsidR="00435B9F" w:rsidRPr="00EC2204" w:rsidRDefault="002C376B" w:rsidP="00EC2204">
      <w:pPr>
        <w:spacing w:after="0"/>
        <w:rPr>
          <w:rFonts w:ascii="Palatino Linotype" w:hAnsi="Palatino Linotype"/>
        </w:rPr>
      </w:pPr>
      <w:r w:rsidRPr="00EC2204">
        <w:rPr>
          <w:rFonts w:ascii="Palatino Linotype" w:hAnsi="Palatino Linotype"/>
          <w:b/>
        </w:rPr>
        <w:t>Scenario 5.</w:t>
      </w:r>
      <w:r w:rsidRPr="00EC2204">
        <w:rPr>
          <w:rFonts w:ascii="Palatino Linotype" w:hAnsi="Palatino Linotype"/>
        </w:rPr>
        <w:t xml:space="preserve"> The court ordered family therapy at disposition. Probation never authorized payment, and the family couldn’t afford it. Four months later, probation files a violation for “failure to engage in services.”</w:t>
      </w:r>
    </w:p>
    <w:p w14:paraId="65B5BB0E"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7840AF1C" w14:textId="77777777" w:rsidR="00EC2204" w:rsidRPr="00EC2204" w:rsidRDefault="00EC2204" w:rsidP="00EC2204">
      <w:pPr>
        <w:spacing w:after="0"/>
        <w:rPr>
          <w:rFonts w:ascii="Palatino Linotype" w:hAnsi="Palatino Linotype"/>
        </w:rPr>
      </w:pPr>
    </w:p>
    <w:p w14:paraId="37F705C0" w14:textId="77777777" w:rsidR="00EC2204" w:rsidRDefault="00EC2204" w:rsidP="00EC2204">
      <w:pPr>
        <w:spacing w:after="0"/>
        <w:rPr>
          <w:rFonts w:ascii="Palatino Linotype" w:hAnsi="Palatino Linotype"/>
        </w:rPr>
      </w:pPr>
    </w:p>
    <w:p w14:paraId="7ADF1D14" w14:textId="77777777" w:rsidR="00EC2204" w:rsidRDefault="00EC2204" w:rsidP="00EC2204">
      <w:pPr>
        <w:spacing w:after="0"/>
        <w:rPr>
          <w:rFonts w:ascii="Palatino Linotype" w:hAnsi="Palatino Linotype"/>
        </w:rPr>
      </w:pPr>
    </w:p>
    <w:p w14:paraId="222EAE7C" w14:textId="77777777" w:rsidR="00EC2204" w:rsidRPr="00EC2204" w:rsidRDefault="00EC2204" w:rsidP="00EC2204">
      <w:pPr>
        <w:spacing w:after="0"/>
        <w:rPr>
          <w:rFonts w:ascii="Palatino Linotype" w:hAnsi="Palatino Linotype"/>
        </w:rPr>
      </w:pPr>
    </w:p>
    <w:p w14:paraId="110A92EC" w14:textId="77777777" w:rsidR="00EC2204" w:rsidRPr="00EC2204" w:rsidRDefault="00EC2204" w:rsidP="00EC2204">
      <w:pPr>
        <w:spacing w:after="0"/>
        <w:rPr>
          <w:rFonts w:ascii="Palatino Linotype" w:hAnsi="Palatino Linotype"/>
          <w:b/>
        </w:rPr>
      </w:pPr>
    </w:p>
    <w:p w14:paraId="59916DE4" w14:textId="77777777" w:rsidR="00EC2204" w:rsidRPr="00EC2204" w:rsidRDefault="00EC2204" w:rsidP="00EC2204">
      <w:pPr>
        <w:spacing w:after="0"/>
        <w:rPr>
          <w:rFonts w:ascii="Palatino Linotype" w:hAnsi="Palatino Linotype"/>
          <w:b/>
        </w:rPr>
      </w:pPr>
    </w:p>
    <w:p w14:paraId="07D5FC4E" w14:textId="06B49A55" w:rsidR="00435B9F" w:rsidRPr="00EC2204" w:rsidRDefault="002C376B" w:rsidP="00EC2204">
      <w:pPr>
        <w:spacing w:after="0"/>
        <w:rPr>
          <w:rFonts w:ascii="Palatino Linotype" w:hAnsi="Palatino Linotype"/>
        </w:rPr>
      </w:pPr>
      <w:r w:rsidRPr="00EC2204">
        <w:rPr>
          <w:rFonts w:ascii="Palatino Linotype" w:hAnsi="Palatino Linotype"/>
          <w:b/>
        </w:rPr>
        <w:t>Scenario 6.</w:t>
      </w:r>
      <w:r w:rsidRPr="00EC2204">
        <w:rPr>
          <w:rFonts w:ascii="Palatino Linotype" w:hAnsi="Palatino Linotype"/>
        </w:rPr>
        <w:t xml:space="preserve"> A youth faces 6–8 months in custody. Defense asks the court to require therapeutic services from qualified providers. Probation’s own lawyer appears and argues the court can’t tell probation how to do its job: separation of powers. The prosecutor is also present. The judge lets probation’s lawyer argue without asking on what basis, agrees, and denies the motion. Your state requires conditions tailored to the individual youth.</w:t>
      </w:r>
    </w:p>
    <w:p w14:paraId="373CE53F" w14:textId="77777777" w:rsidR="00435B9F" w:rsidRPr="00EC2204" w:rsidRDefault="002C376B" w:rsidP="00EC2204">
      <w:pPr>
        <w:spacing w:after="0"/>
        <w:rPr>
          <w:rFonts w:ascii="Palatino Linotype" w:hAnsi="Palatino Linotype"/>
        </w:rPr>
      </w:pPr>
      <w:r w:rsidRPr="00EC2204">
        <w:rPr>
          <w:rFonts w:ascii="Palatino Linotype" w:hAnsi="Palatino Linotype"/>
        </w:rPr>
        <w:t>Notes:</w:t>
      </w:r>
    </w:p>
    <w:p w14:paraId="2FFC13FD" w14:textId="77777777" w:rsidR="00EC2204" w:rsidRPr="00EC2204" w:rsidRDefault="00EC2204" w:rsidP="00EC2204">
      <w:pPr>
        <w:spacing w:after="0"/>
        <w:rPr>
          <w:rFonts w:ascii="Palatino Linotype" w:hAnsi="Palatino Linotype"/>
        </w:rPr>
      </w:pPr>
    </w:p>
    <w:p w14:paraId="36338278" w14:textId="06EB0FAC" w:rsidR="00435B9F" w:rsidRPr="00EC2204" w:rsidRDefault="00EC2204" w:rsidP="00EC2204">
      <w:pPr>
        <w:pStyle w:val="Heading2"/>
        <w:spacing w:after="0"/>
        <w:jc w:val="center"/>
        <w:rPr>
          <w:rFonts w:ascii="Palatino Linotype" w:hAnsi="Palatino Linotype"/>
          <w:sz w:val="18"/>
          <w:szCs w:val="18"/>
          <w:u w:val="single"/>
        </w:rPr>
      </w:pPr>
      <w:r w:rsidRPr="00EC2204">
        <w:rPr>
          <w:rFonts w:ascii="Palatino Linotype" w:hAnsi="Palatino Linotype"/>
          <w:sz w:val="18"/>
          <w:szCs w:val="18"/>
          <w:u w:val="single"/>
        </w:rPr>
        <w:lastRenderedPageBreak/>
        <w:t>Strategy Options</w:t>
      </w:r>
    </w:p>
    <w:p w14:paraId="069A8877" w14:textId="0CEF30CD" w:rsidR="00EC2204" w:rsidRDefault="00EC2204" w:rsidP="00EC2204">
      <w:pPr>
        <w:spacing w:after="0"/>
        <w:rPr>
          <w:rFonts w:ascii="Palatino Linotype" w:hAnsi="Palatino Linotype"/>
          <w:sz w:val="18"/>
          <w:szCs w:val="18"/>
        </w:rPr>
      </w:pPr>
      <w:r w:rsidRPr="00EC2204">
        <w:rPr>
          <w:rFonts w:ascii="Palatino Linotype" w:hAnsi="Palatino Linotype"/>
          <w:sz w:val="18"/>
          <w:szCs w:val="18"/>
        </w:rPr>
        <w:t xml:space="preserve">Below are potential strategies. The authority field is purposely left blank for you to fill out when you return to your jurisdiction. For </w:t>
      </w:r>
      <w:proofErr w:type="gramStart"/>
      <w:r w:rsidRPr="00EC2204">
        <w:rPr>
          <w:rFonts w:ascii="Palatino Linotype" w:hAnsi="Palatino Linotype"/>
          <w:sz w:val="18"/>
          <w:szCs w:val="18"/>
        </w:rPr>
        <w:t>now</w:t>
      </w:r>
      <w:proofErr w:type="gramEnd"/>
      <w:r w:rsidRPr="00EC2204">
        <w:rPr>
          <w:rFonts w:ascii="Palatino Linotype" w:hAnsi="Palatino Linotype"/>
          <w:sz w:val="18"/>
          <w:szCs w:val="18"/>
        </w:rPr>
        <w:t xml:space="preserve"> fill in your research queries/questions. </w:t>
      </w:r>
    </w:p>
    <w:p w14:paraId="53A8ECCD" w14:textId="77777777" w:rsidR="00EC2204" w:rsidRPr="00EC2204" w:rsidRDefault="00EC2204" w:rsidP="00EC2204">
      <w:pPr>
        <w:spacing w:after="0"/>
        <w:rPr>
          <w:rFonts w:ascii="Palatino Linotype" w:hAnsi="Palatino Linotype"/>
          <w:sz w:val="18"/>
          <w:szCs w:val="18"/>
        </w:rPr>
      </w:pPr>
    </w:p>
    <w:tbl>
      <w:tblPr>
        <w:tblStyle w:val="TableGrid"/>
        <w:tblW w:w="0" w:type="auto"/>
        <w:tblLayout w:type="fixed"/>
        <w:tblLook w:val="0420" w:firstRow="1" w:lastRow="0" w:firstColumn="0" w:lastColumn="0" w:noHBand="0" w:noVBand="1"/>
      </w:tblPr>
      <w:tblGrid>
        <w:gridCol w:w="1740"/>
        <w:gridCol w:w="1604"/>
        <w:gridCol w:w="1881"/>
        <w:gridCol w:w="2173"/>
        <w:gridCol w:w="1962"/>
      </w:tblGrid>
      <w:tr w:rsidR="00435B9F" w:rsidRPr="00EC2204" w14:paraId="407B5C1D" w14:textId="77777777" w:rsidTr="00EC2204">
        <w:trPr>
          <w:tblHeader/>
        </w:trPr>
        <w:tc>
          <w:tcPr>
            <w:tcW w:w="1740" w:type="dxa"/>
            <w:shd w:val="clear" w:color="auto" w:fill="F2F2F2"/>
          </w:tcPr>
          <w:p w14:paraId="1D203E13"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Strategy</w:t>
            </w:r>
          </w:p>
        </w:tc>
        <w:tc>
          <w:tcPr>
            <w:tcW w:w="1604" w:type="dxa"/>
            <w:shd w:val="clear" w:color="auto" w:fill="F2F2F2"/>
          </w:tcPr>
          <w:p w14:paraId="78FA288E"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Red flags</w:t>
            </w:r>
          </w:p>
        </w:tc>
        <w:tc>
          <w:tcPr>
            <w:tcW w:w="1881" w:type="dxa"/>
            <w:shd w:val="clear" w:color="auto" w:fill="F2F2F2"/>
          </w:tcPr>
          <w:p w14:paraId="2FF2BEA2"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What to gather</w:t>
            </w:r>
          </w:p>
        </w:tc>
        <w:tc>
          <w:tcPr>
            <w:tcW w:w="2173" w:type="dxa"/>
            <w:shd w:val="clear" w:color="auto" w:fill="F2F2F2"/>
          </w:tcPr>
          <w:p w14:paraId="0E8807AC"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Moves</w:t>
            </w:r>
          </w:p>
        </w:tc>
        <w:tc>
          <w:tcPr>
            <w:tcW w:w="1962" w:type="dxa"/>
            <w:shd w:val="clear" w:color="auto" w:fill="F2F2F2"/>
          </w:tcPr>
          <w:p w14:paraId="139B1B84" w14:textId="54CD5EAA" w:rsidR="00435B9F" w:rsidRPr="00EC2204" w:rsidRDefault="00EC2204" w:rsidP="00EC2204">
            <w:pPr>
              <w:spacing w:after="0"/>
              <w:rPr>
                <w:rFonts w:ascii="Palatino Linotype" w:hAnsi="Palatino Linotype"/>
                <w:sz w:val="18"/>
                <w:szCs w:val="18"/>
              </w:rPr>
            </w:pPr>
            <w:r w:rsidRPr="00EC2204">
              <w:rPr>
                <w:rFonts w:ascii="Palatino Linotype" w:hAnsi="Palatino Linotype"/>
                <w:sz w:val="18"/>
                <w:szCs w:val="18"/>
              </w:rPr>
              <w:t xml:space="preserve">Authority </w:t>
            </w:r>
          </w:p>
        </w:tc>
      </w:tr>
      <w:tr w:rsidR="00435B9F" w:rsidRPr="00EC2204" w14:paraId="6EA0B14F" w14:textId="77777777" w:rsidTr="00EC2204">
        <w:tc>
          <w:tcPr>
            <w:tcW w:w="1740" w:type="dxa"/>
          </w:tcPr>
          <w:p w14:paraId="5789911C"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Separation of powers</w:t>
            </w:r>
          </w:p>
        </w:tc>
        <w:tc>
          <w:tcPr>
            <w:tcW w:w="1604" w:type="dxa"/>
          </w:tcPr>
          <w:p w14:paraId="5390D170" w14:textId="049CE9B3"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 xml:space="preserve">Probation </w:t>
            </w:r>
            <w:r w:rsidR="00EC2204" w:rsidRPr="00EC2204">
              <w:rPr>
                <w:rFonts w:ascii="Palatino Linotype" w:hAnsi="Palatino Linotype"/>
                <w:sz w:val="18"/>
                <w:szCs w:val="18"/>
              </w:rPr>
              <w:t>incarcerates</w:t>
            </w:r>
            <w:r w:rsidRPr="00EC2204">
              <w:rPr>
                <w:rFonts w:ascii="Palatino Linotype" w:hAnsi="Palatino Linotype"/>
                <w:sz w:val="18"/>
                <w:szCs w:val="18"/>
              </w:rPr>
              <w:t>, sanctions or searches with no judge; court-run probation working with police</w:t>
            </w:r>
          </w:p>
        </w:tc>
        <w:tc>
          <w:tcPr>
            <w:tcW w:w="1881" w:type="dxa"/>
          </w:tcPr>
          <w:p w14:paraId="75BF8F99" w14:textId="597323E4"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 xml:space="preserve">The statute, rule or policy probation relied on; who appoints, funds and supervises probation; MOUs and task-force agreements; when a judge </w:t>
            </w:r>
            <w:r w:rsidR="00EC2204" w:rsidRPr="00EC2204">
              <w:rPr>
                <w:rFonts w:ascii="Palatino Linotype" w:hAnsi="Palatino Linotype"/>
                <w:sz w:val="18"/>
                <w:szCs w:val="18"/>
              </w:rPr>
              <w:t>made its determination(s) and the scope of the authority granted to probation and the basis for that grant</w:t>
            </w:r>
          </w:p>
        </w:tc>
        <w:tc>
          <w:tcPr>
            <w:tcW w:w="2173" w:type="dxa"/>
          </w:tcPr>
          <w:p w14:paraId="50F4DF96"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Ask the legal basis on the record; demand judicial review before the action takes effect; argue the state constitution separately</w:t>
            </w:r>
          </w:p>
        </w:tc>
        <w:tc>
          <w:tcPr>
            <w:tcW w:w="1962" w:type="dxa"/>
          </w:tcPr>
          <w:p w14:paraId="5D3252D6" w14:textId="65B58FEC" w:rsidR="00435B9F" w:rsidRPr="00EC2204" w:rsidRDefault="00435B9F" w:rsidP="00EC2204">
            <w:pPr>
              <w:spacing w:after="0"/>
              <w:rPr>
                <w:rFonts w:ascii="Palatino Linotype" w:hAnsi="Palatino Linotype"/>
                <w:sz w:val="18"/>
                <w:szCs w:val="18"/>
              </w:rPr>
            </w:pPr>
          </w:p>
        </w:tc>
      </w:tr>
      <w:tr w:rsidR="00435B9F" w:rsidRPr="00EC2204" w14:paraId="3E7BC23B" w14:textId="77777777" w:rsidTr="00EC2204">
        <w:tc>
          <w:tcPr>
            <w:tcW w:w="1740" w:type="dxa"/>
          </w:tcPr>
          <w:p w14:paraId="25BF0E2D"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Unlawful delegation</w:t>
            </w:r>
          </w:p>
        </w:tc>
        <w:tc>
          <w:tcPr>
            <w:tcW w:w="1604" w:type="dxa"/>
          </w:tcPr>
          <w:p w14:paraId="2D8F8C2C"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“As directed by probation”; placement, custody or GPS left to the officer</w:t>
            </w:r>
          </w:p>
        </w:tc>
        <w:tc>
          <w:tcPr>
            <w:tcW w:w="1881" w:type="dxa"/>
          </w:tcPr>
          <w:p w14:paraId="770133D2"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The order’s exact wording; records of the move or sanction and who authorized it</w:t>
            </w:r>
          </w:p>
        </w:tc>
        <w:tc>
          <w:tcPr>
            <w:tcW w:w="2173" w:type="dxa"/>
          </w:tcPr>
          <w:p w14:paraId="042DF634"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Object at disposition; ask the court to decide the condition; propose your own wording; move to modify</w:t>
            </w:r>
          </w:p>
        </w:tc>
        <w:tc>
          <w:tcPr>
            <w:tcW w:w="1962" w:type="dxa"/>
          </w:tcPr>
          <w:p w14:paraId="724AE68E" w14:textId="015F4DB8" w:rsidR="00435B9F" w:rsidRPr="00EC2204" w:rsidRDefault="00435B9F" w:rsidP="00EC2204">
            <w:pPr>
              <w:spacing w:after="0"/>
              <w:rPr>
                <w:rFonts w:ascii="Palatino Linotype" w:hAnsi="Palatino Linotype"/>
                <w:sz w:val="18"/>
                <w:szCs w:val="18"/>
              </w:rPr>
            </w:pPr>
          </w:p>
        </w:tc>
      </w:tr>
      <w:tr w:rsidR="00435B9F" w:rsidRPr="00EC2204" w14:paraId="716920A8" w14:textId="77777777" w:rsidTr="00EC2204">
        <w:tc>
          <w:tcPr>
            <w:tcW w:w="1740" w:type="dxa"/>
          </w:tcPr>
          <w:p w14:paraId="2CD739CF"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Practice of law</w:t>
            </w:r>
          </w:p>
        </w:tc>
        <w:tc>
          <w:tcPr>
            <w:tcW w:w="1604" w:type="dxa"/>
          </w:tcPr>
          <w:p w14:paraId="57D19503" w14:textId="2DF6E5A1"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Probation conveys or negotiates plea offers, advises youth on waiving rights, or argues at hearings</w:t>
            </w:r>
            <w:r w:rsidR="00EC2204" w:rsidRPr="00EC2204">
              <w:rPr>
                <w:rFonts w:ascii="Palatino Linotype" w:hAnsi="Palatino Linotype"/>
                <w:sz w:val="18"/>
                <w:szCs w:val="18"/>
              </w:rPr>
              <w:t>, makes legal conclusions</w:t>
            </w:r>
          </w:p>
        </w:tc>
        <w:tc>
          <w:tcPr>
            <w:tcW w:w="1881" w:type="dxa"/>
          </w:tcPr>
          <w:p w14:paraId="1E4E73A0" w14:textId="39112006"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The waiver form; any list of standard offers; probation’s policy on offers; who set the offer</w:t>
            </w:r>
            <w:r w:rsidR="00EC2204" w:rsidRPr="00EC2204">
              <w:rPr>
                <w:rFonts w:ascii="Palatino Linotype" w:hAnsi="Palatino Linotype"/>
                <w:sz w:val="18"/>
                <w:szCs w:val="18"/>
              </w:rPr>
              <w:t>; what training probation has received; internal protocols on how they are trained to write reports and draw conclusions</w:t>
            </w:r>
          </w:p>
        </w:tc>
        <w:tc>
          <w:tcPr>
            <w:tcW w:w="2173" w:type="dxa"/>
          </w:tcPr>
          <w:p w14:paraId="42B68B4E" w14:textId="41D0EEBD"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 xml:space="preserve">Challenge the admission and waiver; ask who authorized the offer; </w:t>
            </w:r>
            <w:r w:rsidR="00EC2204" w:rsidRPr="00EC2204">
              <w:rPr>
                <w:rFonts w:ascii="Palatino Linotype" w:hAnsi="Palatino Linotype"/>
                <w:sz w:val="18"/>
                <w:szCs w:val="18"/>
              </w:rPr>
              <w:t xml:space="preserve">fix probation on how they reached their conclusion; </w:t>
            </w:r>
            <w:r w:rsidRPr="00EC2204">
              <w:rPr>
                <w:rFonts w:ascii="Palatino Linotype" w:hAnsi="Palatino Linotype"/>
                <w:sz w:val="18"/>
                <w:szCs w:val="18"/>
              </w:rPr>
              <w:t>seek an order barring the practice</w:t>
            </w:r>
          </w:p>
        </w:tc>
        <w:tc>
          <w:tcPr>
            <w:tcW w:w="1962" w:type="dxa"/>
          </w:tcPr>
          <w:p w14:paraId="700B026E" w14:textId="40353E6C" w:rsidR="00435B9F" w:rsidRPr="00EC2204" w:rsidRDefault="00435B9F" w:rsidP="00EC2204">
            <w:pPr>
              <w:spacing w:after="0"/>
              <w:rPr>
                <w:rFonts w:ascii="Palatino Linotype" w:hAnsi="Palatino Linotype"/>
                <w:sz w:val="18"/>
                <w:szCs w:val="18"/>
              </w:rPr>
            </w:pPr>
          </w:p>
        </w:tc>
      </w:tr>
      <w:tr w:rsidR="00435B9F" w:rsidRPr="00EC2204" w14:paraId="614ADD63" w14:textId="77777777" w:rsidTr="00EC2204">
        <w:tc>
          <w:tcPr>
            <w:tcW w:w="1740" w:type="dxa"/>
          </w:tcPr>
          <w:p w14:paraId="6916C00B"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Right to counsel and due process</w:t>
            </w:r>
          </w:p>
        </w:tc>
        <w:tc>
          <w:tcPr>
            <w:tcW w:w="1604" w:type="dxa"/>
          </w:tcPr>
          <w:p w14:paraId="28D25F4F"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Probation interviews or plea talks before counsel; waivers signed with no lawyer</w:t>
            </w:r>
          </w:p>
        </w:tc>
        <w:tc>
          <w:tcPr>
            <w:tcW w:w="1881" w:type="dxa"/>
          </w:tcPr>
          <w:p w14:paraId="299F1019"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Interview notes and recordings; timing of appointment; any warnings given</w:t>
            </w:r>
          </w:p>
        </w:tc>
        <w:tc>
          <w:tcPr>
            <w:tcW w:w="2173" w:type="dxa"/>
          </w:tcPr>
          <w:p w14:paraId="563963FA"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Advise the client; send a standing notice letter; move to withdraw an admission; exclude statements</w:t>
            </w:r>
          </w:p>
        </w:tc>
        <w:tc>
          <w:tcPr>
            <w:tcW w:w="1962" w:type="dxa"/>
          </w:tcPr>
          <w:p w14:paraId="72BD3FF0" w14:textId="7F63B1F5" w:rsidR="00435B9F" w:rsidRPr="00EC2204" w:rsidRDefault="00435B9F" w:rsidP="00EC2204">
            <w:pPr>
              <w:spacing w:after="0"/>
              <w:rPr>
                <w:rFonts w:ascii="Palatino Linotype" w:hAnsi="Palatino Linotype"/>
                <w:sz w:val="18"/>
                <w:szCs w:val="18"/>
              </w:rPr>
            </w:pPr>
          </w:p>
        </w:tc>
      </w:tr>
      <w:tr w:rsidR="00435B9F" w:rsidRPr="00EC2204" w14:paraId="272BE519" w14:textId="77777777" w:rsidTr="00EC2204">
        <w:tc>
          <w:tcPr>
            <w:tcW w:w="1740" w:type="dxa"/>
          </w:tcPr>
          <w:p w14:paraId="101BFAE8" w14:textId="1CB1DCD1" w:rsidR="00435B9F" w:rsidRPr="00EC2204" w:rsidRDefault="00EC2204" w:rsidP="00EC2204">
            <w:pPr>
              <w:spacing w:after="0"/>
              <w:rPr>
                <w:rFonts w:ascii="Palatino Linotype" w:hAnsi="Palatino Linotype"/>
                <w:sz w:val="18"/>
                <w:szCs w:val="18"/>
              </w:rPr>
            </w:pPr>
            <w:r w:rsidRPr="00EC2204">
              <w:rPr>
                <w:rFonts w:ascii="Palatino Linotype" w:hAnsi="Palatino Linotype"/>
                <w:sz w:val="18"/>
                <w:szCs w:val="18"/>
              </w:rPr>
              <w:t>Probation as adverse party</w:t>
            </w:r>
          </w:p>
        </w:tc>
        <w:tc>
          <w:tcPr>
            <w:tcW w:w="1604" w:type="dxa"/>
          </w:tcPr>
          <w:p w14:paraId="1C7544E4"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Probation’s own lawyer argues the merits</w:t>
            </w:r>
          </w:p>
        </w:tc>
        <w:tc>
          <w:tcPr>
            <w:tcW w:w="1881" w:type="dxa"/>
          </w:tcPr>
          <w:p w14:paraId="59E0918E"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Any motion to intervene; the statute or rule giving the agency a role</w:t>
            </w:r>
          </w:p>
        </w:tc>
        <w:tc>
          <w:tcPr>
            <w:tcW w:w="2173" w:type="dxa"/>
          </w:tcPr>
          <w:p w14:paraId="6D814D32" w14:textId="77777777" w:rsidR="00435B9F" w:rsidRDefault="002C376B" w:rsidP="00EC2204">
            <w:pPr>
              <w:spacing w:after="0"/>
              <w:rPr>
                <w:rFonts w:ascii="Palatino Linotype" w:hAnsi="Palatino Linotype"/>
                <w:sz w:val="18"/>
                <w:szCs w:val="18"/>
              </w:rPr>
            </w:pPr>
            <w:r w:rsidRPr="00EC2204">
              <w:rPr>
                <w:rFonts w:ascii="Palatino Linotype" w:hAnsi="Palatino Linotype"/>
                <w:sz w:val="18"/>
                <w:szCs w:val="18"/>
              </w:rPr>
              <w:t>Ask the legal basis on the record; require a motion to intervene; if it acts as a party, treat it as one</w:t>
            </w:r>
          </w:p>
          <w:p w14:paraId="5C634824" w14:textId="77777777" w:rsidR="00EC2204" w:rsidRDefault="00EC2204" w:rsidP="00EC2204">
            <w:pPr>
              <w:spacing w:after="0"/>
              <w:rPr>
                <w:rFonts w:ascii="Palatino Linotype" w:hAnsi="Palatino Linotype"/>
                <w:sz w:val="18"/>
                <w:szCs w:val="18"/>
              </w:rPr>
            </w:pPr>
          </w:p>
          <w:p w14:paraId="173CCD4E" w14:textId="77777777" w:rsidR="00EC2204" w:rsidRPr="00EC2204" w:rsidRDefault="00EC2204" w:rsidP="00EC2204">
            <w:pPr>
              <w:spacing w:after="0"/>
              <w:rPr>
                <w:rFonts w:ascii="Palatino Linotype" w:hAnsi="Palatino Linotype"/>
                <w:sz w:val="18"/>
                <w:szCs w:val="18"/>
              </w:rPr>
            </w:pPr>
          </w:p>
        </w:tc>
        <w:tc>
          <w:tcPr>
            <w:tcW w:w="1962" w:type="dxa"/>
          </w:tcPr>
          <w:p w14:paraId="129CDF36" w14:textId="2EAF087A" w:rsidR="00435B9F" w:rsidRPr="00EC2204" w:rsidRDefault="00435B9F" w:rsidP="00EC2204">
            <w:pPr>
              <w:spacing w:after="0"/>
              <w:rPr>
                <w:rFonts w:ascii="Palatino Linotype" w:hAnsi="Palatino Linotype"/>
                <w:sz w:val="18"/>
                <w:szCs w:val="18"/>
              </w:rPr>
            </w:pPr>
          </w:p>
        </w:tc>
      </w:tr>
      <w:tr w:rsidR="00435B9F" w:rsidRPr="00EC2204" w14:paraId="62E81801" w14:textId="77777777" w:rsidTr="00EC2204">
        <w:tc>
          <w:tcPr>
            <w:tcW w:w="1740" w:type="dxa"/>
          </w:tcPr>
          <w:p w14:paraId="5A00B8B0"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lastRenderedPageBreak/>
              <w:t>Expertise</w:t>
            </w:r>
          </w:p>
        </w:tc>
        <w:tc>
          <w:tcPr>
            <w:tcW w:w="1604" w:type="dxa"/>
          </w:tcPr>
          <w:p w14:paraId="68BA1226"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Officer opines on gangs, risk or maturity</w:t>
            </w:r>
          </w:p>
        </w:tc>
        <w:tc>
          <w:tcPr>
            <w:tcW w:w="1881" w:type="dxa"/>
          </w:tcPr>
          <w:p w14:paraId="45573051"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Training records; the method used; gang database criteria; risk-tool manual, inputs and scoring</w:t>
            </w:r>
          </w:p>
        </w:tc>
        <w:tc>
          <w:tcPr>
            <w:tcW w:w="2173" w:type="dxa"/>
          </w:tcPr>
          <w:p w14:paraId="3CE57E93" w14:textId="55EF0BAA"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Voir dire on qualifications; object to foundation and case-specific hearsay</w:t>
            </w:r>
            <w:r w:rsidR="00EC2204">
              <w:rPr>
                <w:rFonts w:ascii="Palatino Linotype" w:hAnsi="Palatino Linotype"/>
                <w:sz w:val="18"/>
                <w:szCs w:val="18"/>
              </w:rPr>
              <w:t>; counter with</w:t>
            </w:r>
            <w:r w:rsidRPr="00EC2204">
              <w:rPr>
                <w:rFonts w:ascii="Palatino Linotype" w:hAnsi="Palatino Linotype"/>
                <w:sz w:val="18"/>
                <w:szCs w:val="18"/>
              </w:rPr>
              <w:t xml:space="preserve"> a defense expert</w:t>
            </w:r>
          </w:p>
        </w:tc>
        <w:tc>
          <w:tcPr>
            <w:tcW w:w="1962" w:type="dxa"/>
          </w:tcPr>
          <w:p w14:paraId="4B359D80" w14:textId="2A8E9432" w:rsidR="00435B9F" w:rsidRPr="00EC2204" w:rsidRDefault="00435B9F" w:rsidP="00EC2204">
            <w:pPr>
              <w:spacing w:after="0"/>
              <w:rPr>
                <w:rFonts w:ascii="Palatino Linotype" w:hAnsi="Palatino Linotype"/>
                <w:sz w:val="18"/>
                <w:szCs w:val="18"/>
              </w:rPr>
            </w:pPr>
          </w:p>
        </w:tc>
      </w:tr>
      <w:tr w:rsidR="00435B9F" w:rsidRPr="00EC2204" w14:paraId="02FD377E" w14:textId="77777777" w:rsidTr="00EC2204">
        <w:tc>
          <w:tcPr>
            <w:tcW w:w="1740" w:type="dxa"/>
          </w:tcPr>
          <w:p w14:paraId="7CEDDCC4" w14:textId="68DC288C"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Sourc</w:t>
            </w:r>
            <w:r w:rsidR="00EC2204" w:rsidRPr="00EC2204">
              <w:rPr>
                <w:rFonts w:ascii="Palatino Linotype" w:hAnsi="Palatino Linotype"/>
                <w:sz w:val="18"/>
                <w:szCs w:val="18"/>
              </w:rPr>
              <w:t>ing</w:t>
            </w:r>
            <w:r w:rsidRPr="00EC2204">
              <w:rPr>
                <w:rFonts w:ascii="Palatino Linotype" w:hAnsi="Palatino Linotype"/>
                <w:sz w:val="18"/>
                <w:szCs w:val="18"/>
              </w:rPr>
              <w:t xml:space="preserve"> information</w:t>
            </w:r>
          </w:p>
        </w:tc>
        <w:tc>
          <w:tcPr>
            <w:tcW w:w="1604" w:type="dxa"/>
          </w:tcPr>
          <w:p w14:paraId="4C3B3573"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Report relies on unnamed sources, police narratives or labels</w:t>
            </w:r>
          </w:p>
        </w:tc>
        <w:tc>
          <w:tcPr>
            <w:tcW w:w="1881" w:type="dxa"/>
          </w:tcPr>
          <w:p w14:paraId="167E6C59"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Probation’s full file; every source the report relied on; report templates</w:t>
            </w:r>
          </w:p>
        </w:tc>
        <w:tc>
          <w:tcPr>
            <w:tcW w:w="2173" w:type="dxa"/>
          </w:tcPr>
          <w:p w14:paraId="0B0F5792"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Demand the sources; object to hearsay; move to strike labels; ask what facts the court relies on</w:t>
            </w:r>
          </w:p>
        </w:tc>
        <w:tc>
          <w:tcPr>
            <w:tcW w:w="1962" w:type="dxa"/>
          </w:tcPr>
          <w:p w14:paraId="669F2938" w14:textId="6D928F41" w:rsidR="00435B9F" w:rsidRPr="00EC2204" w:rsidRDefault="00435B9F" w:rsidP="00EC2204">
            <w:pPr>
              <w:spacing w:after="0"/>
              <w:rPr>
                <w:rFonts w:ascii="Palatino Linotype" w:hAnsi="Palatino Linotype"/>
                <w:sz w:val="18"/>
                <w:szCs w:val="18"/>
              </w:rPr>
            </w:pPr>
          </w:p>
        </w:tc>
      </w:tr>
      <w:tr w:rsidR="00435B9F" w:rsidRPr="00EC2204" w14:paraId="1E083FF2" w14:textId="77777777" w:rsidTr="00EC2204">
        <w:tc>
          <w:tcPr>
            <w:tcW w:w="1740" w:type="dxa"/>
          </w:tcPr>
          <w:p w14:paraId="474690B3"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Accountability</w:t>
            </w:r>
          </w:p>
        </w:tc>
        <w:tc>
          <w:tcPr>
            <w:tcW w:w="1604" w:type="dxa"/>
          </w:tcPr>
          <w:p w14:paraId="7929F825" w14:textId="77777777"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“Failure to engage” when probation never delivered services</w:t>
            </w:r>
          </w:p>
        </w:tc>
        <w:tc>
          <w:tcPr>
            <w:tcW w:w="1881" w:type="dxa"/>
          </w:tcPr>
          <w:p w14:paraId="5A21A178" w14:textId="7A64FE14"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 xml:space="preserve">Referral, authorization and payment records; </w:t>
            </w:r>
            <w:r w:rsidR="00EC2204">
              <w:rPr>
                <w:rFonts w:ascii="Palatino Linotype" w:hAnsi="Palatino Linotype"/>
                <w:sz w:val="18"/>
                <w:szCs w:val="18"/>
              </w:rPr>
              <w:t xml:space="preserve">contracts; </w:t>
            </w:r>
            <w:r w:rsidRPr="00EC2204">
              <w:rPr>
                <w:rFonts w:ascii="Palatino Linotype" w:hAnsi="Palatino Linotype"/>
                <w:sz w:val="18"/>
                <w:szCs w:val="18"/>
              </w:rPr>
              <w:t>communications with providers</w:t>
            </w:r>
          </w:p>
        </w:tc>
        <w:tc>
          <w:tcPr>
            <w:tcW w:w="2173" w:type="dxa"/>
          </w:tcPr>
          <w:p w14:paraId="573C665D" w14:textId="40679D20" w:rsidR="00435B9F" w:rsidRPr="00EC2204" w:rsidRDefault="002C376B" w:rsidP="00EC2204">
            <w:pPr>
              <w:spacing w:after="0"/>
              <w:rPr>
                <w:rFonts w:ascii="Palatino Linotype" w:hAnsi="Palatino Linotype"/>
                <w:sz w:val="18"/>
                <w:szCs w:val="18"/>
              </w:rPr>
            </w:pPr>
            <w:r w:rsidRPr="00EC2204">
              <w:rPr>
                <w:rFonts w:ascii="Palatino Linotype" w:hAnsi="Palatino Linotype"/>
                <w:sz w:val="18"/>
                <w:szCs w:val="18"/>
              </w:rPr>
              <w:t>Order to show cause; ask for findings on probation’s performance; argue the violation wasn’t willful</w:t>
            </w:r>
            <w:r w:rsidR="00EC2204">
              <w:rPr>
                <w:rFonts w:ascii="Palatino Linotype" w:hAnsi="Palatino Linotype"/>
                <w:sz w:val="18"/>
                <w:szCs w:val="18"/>
              </w:rPr>
              <w:t>; ask for metrics based upon probation’s efforts (or lack thereof)</w:t>
            </w:r>
          </w:p>
        </w:tc>
        <w:tc>
          <w:tcPr>
            <w:tcW w:w="1962" w:type="dxa"/>
          </w:tcPr>
          <w:p w14:paraId="432FDB98" w14:textId="3AD80513" w:rsidR="00435B9F" w:rsidRPr="00EC2204" w:rsidRDefault="00435B9F" w:rsidP="00EC2204">
            <w:pPr>
              <w:spacing w:after="0"/>
              <w:rPr>
                <w:rFonts w:ascii="Palatino Linotype" w:hAnsi="Palatino Linotype"/>
                <w:sz w:val="18"/>
                <w:szCs w:val="18"/>
              </w:rPr>
            </w:pPr>
          </w:p>
        </w:tc>
      </w:tr>
    </w:tbl>
    <w:p w14:paraId="1B3B218C" w14:textId="77777777" w:rsidR="00EC2204" w:rsidRPr="00EC2204" w:rsidRDefault="00EC2204" w:rsidP="00EC2204">
      <w:pPr>
        <w:spacing w:after="0"/>
        <w:rPr>
          <w:rFonts w:ascii="Palatino Linotype" w:hAnsi="Palatino Linotype"/>
          <w:sz w:val="24"/>
          <w:szCs w:val="24"/>
        </w:rPr>
      </w:pPr>
    </w:p>
    <w:p w14:paraId="3D89E5B4" w14:textId="00375D84" w:rsidR="00435B9F" w:rsidRPr="00EC2204" w:rsidRDefault="00EC2204" w:rsidP="00EC2204">
      <w:pPr>
        <w:spacing w:after="0"/>
        <w:rPr>
          <w:rFonts w:ascii="Palatino Linotype" w:hAnsi="Palatino Linotype"/>
          <w:sz w:val="24"/>
          <w:szCs w:val="24"/>
        </w:rPr>
      </w:pPr>
      <w:r>
        <w:rPr>
          <w:rFonts w:ascii="Palatino Linotype" w:hAnsi="Palatino Linotype"/>
          <w:sz w:val="24"/>
          <w:szCs w:val="24"/>
        </w:rPr>
        <w:t xml:space="preserve">Additional Notes: </w:t>
      </w:r>
    </w:p>
    <w:sectPr w:rsidR="00435B9F" w:rsidRPr="00EC2204">
      <w:footerReference w:type="even"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C500" w14:textId="77777777" w:rsidR="002C376B" w:rsidRDefault="002C376B" w:rsidP="00EC2204">
      <w:pPr>
        <w:spacing w:after="0" w:line="240" w:lineRule="auto"/>
      </w:pPr>
      <w:r>
        <w:separator/>
      </w:r>
    </w:p>
  </w:endnote>
  <w:endnote w:type="continuationSeparator" w:id="0">
    <w:p w14:paraId="6537901A" w14:textId="77777777" w:rsidR="002C376B" w:rsidRDefault="002C376B" w:rsidP="00EC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9073390"/>
      <w:docPartObj>
        <w:docPartGallery w:val="Page Numbers (Bottom of Page)"/>
        <w:docPartUnique/>
      </w:docPartObj>
    </w:sdtPr>
    <w:sdtEndPr>
      <w:rPr>
        <w:rStyle w:val="PageNumber"/>
      </w:rPr>
    </w:sdtEndPr>
    <w:sdtContent>
      <w:p w14:paraId="7878D7BF" w14:textId="59A82078" w:rsidR="00EC2204" w:rsidRDefault="00EC2204" w:rsidP="00744B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E11B5D1" w14:textId="77777777" w:rsidR="00EC2204" w:rsidRDefault="00EC2204" w:rsidP="00EC22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49478685"/>
      <w:docPartObj>
        <w:docPartGallery w:val="Page Numbers (Bottom of Page)"/>
        <w:docPartUnique/>
      </w:docPartObj>
    </w:sdtPr>
    <w:sdtEndPr>
      <w:rPr>
        <w:rStyle w:val="PageNumber"/>
      </w:rPr>
    </w:sdtEndPr>
    <w:sdtContent>
      <w:p w14:paraId="78723E01" w14:textId="6CD055AA" w:rsidR="00EC2204" w:rsidRDefault="00EC2204" w:rsidP="00744BF5">
        <w:pPr>
          <w:pStyle w:val="Footer"/>
          <w:framePr w:wrap="none" w:vAnchor="text" w:hAnchor="margin" w:xAlign="right" w:y="1"/>
          <w:rPr>
            <w:rStyle w:val="PageNumber"/>
          </w:rPr>
        </w:pPr>
        <w:r w:rsidRPr="00EC2204">
          <w:rPr>
            <w:rStyle w:val="PageNumber"/>
            <w:rFonts w:ascii="Palatino Linotype" w:hAnsi="Palatino Linotype"/>
          </w:rPr>
          <w:fldChar w:fldCharType="begin"/>
        </w:r>
        <w:r w:rsidRPr="00EC2204">
          <w:rPr>
            <w:rStyle w:val="PageNumber"/>
            <w:rFonts w:ascii="Palatino Linotype" w:hAnsi="Palatino Linotype"/>
          </w:rPr>
          <w:instrText xml:space="preserve"> PAGE </w:instrText>
        </w:r>
        <w:r w:rsidRPr="00EC2204">
          <w:rPr>
            <w:rStyle w:val="PageNumber"/>
            <w:rFonts w:ascii="Palatino Linotype" w:hAnsi="Palatino Linotype"/>
          </w:rPr>
          <w:fldChar w:fldCharType="separate"/>
        </w:r>
        <w:r w:rsidRPr="00EC2204">
          <w:rPr>
            <w:rStyle w:val="PageNumber"/>
            <w:rFonts w:ascii="Palatino Linotype" w:hAnsi="Palatino Linotype"/>
            <w:noProof/>
          </w:rPr>
          <w:t>3</w:t>
        </w:r>
        <w:r w:rsidRPr="00EC2204">
          <w:rPr>
            <w:rStyle w:val="PageNumber"/>
            <w:rFonts w:ascii="Palatino Linotype" w:hAnsi="Palatino Linotype"/>
          </w:rPr>
          <w:fldChar w:fldCharType="end"/>
        </w:r>
      </w:p>
    </w:sdtContent>
  </w:sdt>
  <w:p w14:paraId="08E947C0" w14:textId="77777777" w:rsidR="00EC2204" w:rsidRDefault="00EC2204" w:rsidP="00EC220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DB2D6" w14:textId="77777777" w:rsidR="002C376B" w:rsidRDefault="002C376B" w:rsidP="00EC2204">
      <w:pPr>
        <w:spacing w:after="0" w:line="240" w:lineRule="auto"/>
      </w:pPr>
      <w:r>
        <w:separator/>
      </w:r>
    </w:p>
  </w:footnote>
  <w:footnote w:type="continuationSeparator" w:id="0">
    <w:p w14:paraId="1461F918" w14:textId="77777777" w:rsidR="002C376B" w:rsidRDefault="002C376B" w:rsidP="00EC2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4350"/>
    <w:multiLevelType w:val="hybridMultilevel"/>
    <w:tmpl w:val="0DB2A450"/>
    <w:lvl w:ilvl="0" w:tplc="1C8A3304">
      <w:start w:val="1"/>
      <w:numFmt w:val="decimal"/>
      <w:lvlText w:val="%1."/>
      <w:lvlJc w:val="left"/>
      <w:pPr>
        <w:ind w:left="720" w:hanging="360"/>
      </w:pPr>
    </w:lvl>
    <w:lvl w:ilvl="1" w:tplc="92484E62">
      <w:start w:val="1"/>
      <w:numFmt w:val="lowerLetter"/>
      <w:lvlText w:val="%2."/>
      <w:lvlJc w:val="left"/>
      <w:pPr>
        <w:ind w:left="1440" w:hanging="360"/>
      </w:pPr>
    </w:lvl>
    <w:lvl w:ilvl="2" w:tplc="996093BC">
      <w:start w:val="1"/>
      <w:numFmt w:val="lowerRoman"/>
      <w:lvlText w:val="%3."/>
      <w:lvlJc w:val="left"/>
      <w:pPr>
        <w:ind w:left="2160" w:hanging="360"/>
      </w:pPr>
    </w:lvl>
    <w:lvl w:ilvl="3" w:tplc="0414CC2C">
      <w:start w:val="1"/>
      <w:numFmt w:val="decimal"/>
      <w:lvlText w:val="%4."/>
      <w:lvlJc w:val="left"/>
      <w:pPr>
        <w:ind w:left="2880" w:hanging="360"/>
      </w:pPr>
    </w:lvl>
    <w:lvl w:ilvl="4" w:tplc="70A4DBA0">
      <w:start w:val="1"/>
      <w:numFmt w:val="lowerLetter"/>
      <w:lvlText w:val="%5."/>
      <w:lvlJc w:val="left"/>
      <w:pPr>
        <w:ind w:left="3600" w:hanging="360"/>
      </w:pPr>
    </w:lvl>
    <w:lvl w:ilvl="5" w:tplc="237E1624">
      <w:start w:val="1"/>
      <w:numFmt w:val="lowerRoman"/>
      <w:lvlText w:val="%6."/>
      <w:lvlJc w:val="left"/>
      <w:pPr>
        <w:ind w:left="4320" w:hanging="360"/>
      </w:pPr>
    </w:lvl>
    <w:lvl w:ilvl="6" w:tplc="EC7E30A6">
      <w:start w:val="1"/>
      <w:numFmt w:val="decimal"/>
      <w:lvlText w:val="%7."/>
      <w:lvlJc w:val="left"/>
      <w:pPr>
        <w:ind w:left="5040" w:hanging="360"/>
      </w:pPr>
    </w:lvl>
    <w:lvl w:ilvl="7" w:tplc="DD9C3C5E">
      <w:start w:val="1"/>
      <w:numFmt w:val="lowerLetter"/>
      <w:lvlText w:val="%8."/>
      <w:lvlJc w:val="left"/>
      <w:pPr>
        <w:ind w:left="5760" w:hanging="360"/>
      </w:pPr>
    </w:lvl>
    <w:lvl w:ilvl="8" w:tplc="75DAA63E">
      <w:start w:val="1"/>
      <w:numFmt w:val="lowerRoman"/>
      <w:lvlText w:val="%9."/>
      <w:lvlJc w:val="left"/>
      <w:pPr>
        <w:ind w:left="6480" w:hanging="360"/>
      </w:pPr>
    </w:lvl>
  </w:abstractNum>
  <w:abstractNum w:abstractNumId="1" w15:restartNumberingAfterBreak="0">
    <w:nsid w:val="033778C8"/>
    <w:multiLevelType w:val="hybridMultilevel"/>
    <w:tmpl w:val="E9FE6402"/>
    <w:lvl w:ilvl="0" w:tplc="95462342">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73206E"/>
    <w:multiLevelType w:val="hybridMultilevel"/>
    <w:tmpl w:val="8BCA2670"/>
    <w:lvl w:ilvl="0" w:tplc="E640A568">
      <w:start w:val="1"/>
      <w:numFmt w:val="bullet"/>
      <w:lvlText w:val="•"/>
      <w:lvlJc w:val="left"/>
      <w:pPr>
        <w:ind w:left="720" w:hanging="360"/>
      </w:pPr>
    </w:lvl>
    <w:lvl w:ilvl="1" w:tplc="2A72B8BE">
      <w:start w:val="1"/>
      <w:numFmt w:val="bullet"/>
      <w:lvlText w:val="o"/>
      <w:lvlJc w:val="left"/>
      <w:pPr>
        <w:ind w:left="1440" w:hanging="360"/>
      </w:pPr>
    </w:lvl>
    <w:lvl w:ilvl="2" w:tplc="FCA63514">
      <w:start w:val="1"/>
      <w:numFmt w:val="bullet"/>
      <w:lvlText w:val="▪"/>
      <w:lvlJc w:val="left"/>
      <w:pPr>
        <w:ind w:left="2160" w:hanging="360"/>
      </w:pPr>
    </w:lvl>
    <w:lvl w:ilvl="3" w:tplc="CFCC65D8">
      <w:start w:val="1"/>
      <w:numFmt w:val="bullet"/>
      <w:lvlText w:val="•"/>
      <w:lvlJc w:val="left"/>
      <w:pPr>
        <w:ind w:left="2880" w:hanging="360"/>
      </w:pPr>
    </w:lvl>
    <w:lvl w:ilvl="4" w:tplc="6B982AC0">
      <w:start w:val="1"/>
      <w:numFmt w:val="bullet"/>
      <w:lvlText w:val="o"/>
      <w:lvlJc w:val="left"/>
      <w:pPr>
        <w:ind w:left="3600" w:hanging="360"/>
      </w:pPr>
    </w:lvl>
    <w:lvl w:ilvl="5" w:tplc="85242EB4">
      <w:start w:val="1"/>
      <w:numFmt w:val="bullet"/>
      <w:lvlText w:val="▪"/>
      <w:lvlJc w:val="left"/>
      <w:pPr>
        <w:ind w:left="4320" w:hanging="360"/>
      </w:pPr>
    </w:lvl>
    <w:lvl w:ilvl="6" w:tplc="180E2D90">
      <w:start w:val="1"/>
      <w:numFmt w:val="bullet"/>
      <w:lvlText w:val="•"/>
      <w:lvlJc w:val="left"/>
      <w:pPr>
        <w:ind w:left="5040" w:hanging="360"/>
      </w:pPr>
    </w:lvl>
    <w:lvl w:ilvl="7" w:tplc="7866760E">
      <w:start w:val="1"/>
      <w:numFmt w:val="bullet"/>
      <w:lvlText w:val="o"/>
      <w:lvlJc w:val="left"/>
      <w:pPr>
        <w:ind w:left="5760" w:hanging="360"/>
      </w:pPr>
    </w:lvl>
    <w:lvl w:ilvl="8" w:tplc="6E786938">
      <w:start w:val="1"/>
      <w:numFmt w:val="bullet"/>
      <w:lvlText w:val="▪"/>
      <w:lvlJc w:val="left"/>
      <w:pPr>
        <w:ind w:left="6480" w:hanging="360"/>
      </w:pPr>
    </w:lvl>
  </w:abstractNum>
  <w:abstractNum w:abstractNumId="3" w15:restartNumberingAfterBreak="0">
    <w:nsid w:val="68F8474C"/>
    <w:multiLevelType w:val="hybridMultilevel"/>
    <w:tmpl w:val="85DEF6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76068118">
    <w:abstractNumId w:val="2"/>
  </w:num>
  <w:num w:numId="2" w16cid:durableId="1258296465">
    <w:abstractNumId w:val="0"/>
    <w:lvlOverride w:ilvl="0">
      <w:startOverride w:val="1"/>
    </w:lvlOverride>
  </w:num>
  <w:num w:numId="3" w16cid:durableId="2007434731">
    <w:abstractNumId w:val="1"/>
  </w:num>
  <w:num w:numId="4" w16cid:durableId="1893424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B9F"/>
    <w:rsid w:val="001D0034"/>
    <w:rsid w:val="002C376B"/>
    <w:rsid w:val="00435B9F"/>
    <w:rsid w:val="00D06415"/>
    <w:rsid w:val="00EC2204"/>
    <w:rsid w:val="00F44F42"/>
    <w:rsid w:val="00F767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DF0F"/>
  <w15:docId w15:val="{5A4C8B88-8CBF-4946-B067-E8D50C51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204"/>
  </w:style>
  <w:style w:type="character" w:styleId="PageNumber">
    <w:name w:val="page number"/>
    <w:basedOn w:val="DefaultParagraphFont"/>
    <w:uiPriority w:val="99"/>
    <w:semiHidden/>
    <w:unhideWhenUsed/>
    <w:rsid w:val="00EC2204"/>
  </w:style>
  <w:style w:type="paragraph" w:styleId="Header">
    <w:name w:val="header"/>
    <w:basedOn w:val="Normal"/>
    <w:link w:val="HeaderChar"/>
    <w:uiPriority w:val="99"/>
    <w:unhideWhenUsed/>
    <w:rsid w:val="00EC2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4681</Characters>
  <Application>Microsoft Office Word</Application>
  <DocSecurity>0</DocSecurity>
  <Lines>39</Lines>
  <Paragraphs>10</Paragraphs>
  <ScaleCrop>false</ScaleCrop>
  <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Spot the Issue Scenarios and Strategy Menu</dc:title>
  <dc:description>Claude Docs node/6a0af8a3-6bf2@11 docx-w7</dc:description>
  <cp:lastModifiedBy>HyeJi Kim</cp:lastModifiedBy>
  <cp:revision>2</cp:revision>
  <dcterms:created xsi:type="dcterms:W3CDTF">2026-10-28T21:36:00Z</dcterms:created>
  <dcterms:modified xsi:type="dcterms:W3CDTF">2026-10-28T21:36:00Z</dcterms:modified>
</cp:coreProperties>
</file>